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0341FA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</w:rPr>
      </w:pPr>
    </w:p>
    <w:p w14:paraId="10D560A6" w14:textId="260F586A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начала приема заявок на участие в аукционе</w:t>
      </w:r>
      <w:r w:rsidRPr="005C65C7">
        <w:t xml:space="preserve"> – </w:t>
      </w:r>
      <w:r w:rsidR="00FB05C4">
        <w:t>27</w:t>
      </w:r>
      <w:r w:rsidR="00295663" w:rsidRPr="005C65C7">
        <w:t xml:space="preserve"> </w:t>
      </w:r>
      <w:r w:rsidR="009D3FF4" w:rsidRPr="005C65C7">
        <w:t>марта</w:t>
      </w:r>
      <w:r w:rsidRPr="005C65C7">
        <w:t xml:space="preserve"> 2026 г. с </w:t>
      </w:r>
      <w:proofErr w:type="gramStart"/>
      <w:r w:rsidR="005C65C7" w:rsidRPr="005C65C7">
        <w:t>2</w:t>
      </w:r>
      <w:r w:rsidR="00FB05C4">
        <w:t>1</w:t>
      </w:r>
      <w:r w:rsidR="005C65C7" w:rsidRPr="005C65C7">
        <w:t>:‍</w:t>
      </w:r>
      <w:proofErr w:type="gramEnd"/>
      <w:r w:rsidRPr="005C65C7">
        <w:t>00 по московскому времени.</w:t>
      </w:r>
    </w:p>
    <w:p w14:paraId="64E96E29" w14:textId="511D630E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окончания приема заявок на участие в аукционе</w:t>
      </w:r>
      <w:r w:rsidRPr="005C65C7">
        <w:t xml:space="preserve"> – </w:t>
      </w:r>
      <w:r w:rsidR="00FB05C4">
        <w:t>21</w:t>
      </w:r>
      <w:r w:rsidRPr="005C65C7">
        <w:t xml:space="preserve"> </w:t>
      </w:r>
      <w:r w:rsidR="00605E4B" w:rsidRPr="005C65C7">
        <w:t>апреля</w:t>
      </w:r>
      <w:r w:rsidRPr="005C65C7">
        <w:t xml:space="preserve"> 2026 г. до 10</w:t>
      </w:r>
      <w:proofErr w:type="gramStart"/>
      <w:r w:rsidRPr="005C65C7">
        <w:t>‍:‍</w:t>
      </w:r>
      <w:proofErr w:type="gramEnd"/>
      <w:r w:rsidRPr="005C65C7">
        <w:t>00 по московскому времени.</w:t>
      </w:r>
    </w:p>
    <w:p w14:paraId="6732171A" w14:textId="3B29FB90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подведения итогов приема заявок на участие в торгах –</w:t>
      </w:r>
      <w:r w:rsidRPr="005C65C7">
        <w:t xml:space="preserve"> </w:t>
      </w:r>
      <w:r w:rsidRPr="005C65C7">
        <w:br/>
      </w:r>
      <w:r w:rsidR="000A69AB">
        <w:t>2</w:t>
      </w:r>
      <w:r w:rsidR="00FB05C4">
        <w:t>4</w:t>
      </w:r>
      <w:r w:rsidRPr="005C65C7">
        <w:t xml:space="preserve"> </w:t>
      </w:r>
      <w:r w:rsidR="009D3FF4" w:rsidRPr="005C65C7">
        <w:t>апреля</w:t>
      </w:r>
      <w:r w:rsidRPr="005C65C7">
        <w:t xml:space="preserve"> 2026 г. </w:t>
      </w:r>
    </w:p>
    <w:p w14:paraId="07AD3F4D" w14:textId="1722BF0C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 xml:space="preserve">Дата, время и место проведения </w:t>
      </w:r>
      <w:r w:rsidR="00410AF1">
        <w:rPr>
          <w:b/>
        </w:rPr>
        <w:t xml:space="preserve">первичных </w:t>
      </w:r>
      <w:r w:rsidRPr="005C65C7">
        <w:rPr>
          <w:b/>
        </w:rPr>
        <w:t>торгов (подведения итогов торгов)</w:t>
      </w:r>
      <w:r w:rsidRPr="005C65C7">
        <w:t xml:space="preserve"> – </w:t>
      </w:r>
      <w:r w:rsidRPr="005C65C7">
        <w:br/>
      </w:r>
      <w:r w:rsidR="00FB05C4">
        <w:t>27</w:t>
      </w:r>
      <w:r w:rsidRPr="005C65C7">
        <w:t xml:space="preserve"> </w:t>
      </w:r>
      <w:r w:rsidR="009D3FF4" w:rsidRPr="005C65C7">
        <w:t>апреля</w:t>
      </w:r>
      <w:r w:rsidRPr="005C65C7">
        <w:t xml:space="preserve"> 2026 г. в 10‍:‍00 по московскому времени на ЭТП «</w:t>
      </w:r>
      <w:r w:rsidR="00295663" w:rsidRPr="005C65C7">
        <w:t>Гарант</w:t>
      </w:r>
      <w:r w:rsidRPr="005C65C7"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7475EAAC" w14:textId="6554D4F3" w:rsidR="00737AE0" w:rsidRPr="00737AE0" w:rsidRDefault="00717BC8" w:rsidP="00737AE0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</w:rPr>
      </w:pPr>
      <w:r w:rsidRPr="0042248B">
        <w:tab/>
      </w:r>
      <w:r w:rsidRPr="0042248B">
        <w:tab/>
      </w:r>
      <w:r w:rsidR="00295663" w:rsidRPr="0042248B">
        <w:rPr>
          <w:b/>
        </w:rPr>
        <w:t>2</w:t>
      </w:r>
      <w:r w:rsidRPr="0042248B">
        <w:rPr>
          <w:b/>
        </w:rPr>
        <w:t>. Сведения о выставляемом на торги имуществе</w:t>
      </w:r>
      <w:r w:rsidR="00937E21">
        <w:rPr>
          <w:b/>
        </w:rPr>
        <w:t xml:space="preserve">  </w:t>
      </w:r>
    </w:p>
    <w:p w14:paraId="31439376" w14:textId="15D8BE30" w:rsidR="00D05A1E" w:rsidRDefault="00CE3907" w:rsidP="00D05A1E">
      <w:pPr>
        <w:tabs>
          <w:tab w:val="left" w:pos="2552"/>
        </w:tabs>
        <w:ind w:firstLine="709"/>
        <w:jc w:val="both"/>
      </w:pPr>
      <w:r w:rsidRPr="00F14355">
        <w:rPr>
          <w:b/>
        </w:rPr>
        <w:t xml:space="preserve">Лот № </w:t>
      </w:r>
      <w:r w:rsidR="001F2D66">
        <w:rPr>
          <w:b/>
        </w:rPr>
        <w:t>1</w:t>
      </w:r>
      <w:bookmarkStart w:id="9" w:name="_GoBack"/>
      <w:bookmarkEnd w:id="9"/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="00D05A1E">
        <w:t xml:space="preserve">(первичные торги). Нежилое помещение (гараж) площадью 18,40 кв. м., кадастровый номер 56:44:0229001:3126, расположенное по адресу: Оренбургская область, г. Оренбург, </w:t>
      </w:r>
      <w:proofErr w:type="spellStart"/>
      <w:r w:rsidR="00D05A1E">
        <w:t>пр-кт</w:t>
      </w:r>
      <w:proofErr w:type="spellEnd"/>
      <w:r w:rsidR="00D05A1E">
        <w:t xml:space="preserve"> Гагарина, д. 55/3, гараж № 164. Обременение – аресты. </w:t>
      </w:r>
      <w:r w:rsidR="00FE1572">
        <w:t>Собственники (правообладатели):</w:t>
      </w:r>
      <w:r w:rsidR="00D05A1E">
        <w:t xml:space="preserve"> </w:t>
      </w:r>
      <w:proofErr w:type="spellStart"/>
      <w:r w:rsidR="00D05A1E" w:rsidRPr="00D05A1E">
        <w:rPr>
          <w:b/>
        </w:rPr>
        <w:t>Лихолетова</w:t>
      </w:r>
      <w:proofErr w:type="spellEnd"/>
      <w:r w:rsidR="00D05A1E" w:rsidRPr="00D05A1E">
        <w:rPr>
          <w:b/>
        </w:rPr>
        <w:t xml:space="preserve"> Л.А.</w:t>
      </w:r>
      <w:r w:rsidR="00D05A1E">
        <w:t xml:space="preserve"> (уведомление № 129 от 11.03.2026). Судебный пристав-исполнитель СОСП по Оренбургской области ГМУ ФССП России Калюжная С.А. (тел. 8 (3532) 34-19-35).</w:t>
      </w:r>
    </w:p>
    <w:p w14:paraId="433E1751" w14:textId="21178DB0" w:rsidR="00CE3907" w:rsidRDefault="00D05A1E" w:rsidP="00D05A1E">
      <w:pPr>
        <w:tabs>
          <w:tab w:val="left" w:pos="2552"/>
        </w:tabs>
        <w:ind w:firstLine="709"/>
        <w:jc w:val="both"/>
      </w:pPr>
      <w:r>
        <w:t>Начальная цена – 239 800,00 руб. (НДС не облагается), задаток 35 970,00 руб., шаг аукциона 2 398,00 руб.</w:t>
      </w:r>
    </w:p>
    <w:p w14:paraId="70C777AB" w14:textId="344333F0" w:rsidR="00D05A1E" w:rsidRDefault="00D05A1E" w:rsidP="00737AE0">
      <w:pPr>
        <w:ind w:firstLine="709"/>
        <w:jc w:val="both"/>
      </w:pPr>
    </w:p>
    <w:p w14:paraId="4345C443" w14:textId="7CEA1DE5" w:rsidR="00F14355" w:rsidRPr="0042248B" w:rsidRDefault="00F14355" w:rsidP="00D36EB4">
      <w:pPr>
        <w:jc w:val="both"/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0"/>
      <w:bookmarkEnd w:id="10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1" w:name="bookmark11"/>
      <w:bookmarkEnd w:id="11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2" w:name="bookmark12"/>
      <w:bookmarkEnd w:id="12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3" w:name="bookmark13"/>
      <w:bookmarkEnd w:id="13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4" w:name="bookmark14"/>
      <w:bookmarkEnd w:id="14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5" w:name="bookmark15"/>
      <w:bookmarkEnd w:id="15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6" w:name="bookmark16"/>
      <w:bookmarkEnd w:id="16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7" w:name="bookmark17"/>
      <w:bookmarkEnd w:id="17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8" w:name="bookmark18"/>
      <w:bookmarkEnd w:id="1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9" w:name="bookmark19"/>
      <w:bookmarkEnd w:id="19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20" w:name="bookmark20"/>
      <w:bookmarkEnd w:id="20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1" w:name="bookmark21"/>
      <w:bookmarkEnd w:id="21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2" w:name="bookmark22"/>
      <w:bookmarkEnd w:id="22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3" w:name="bookmark23"/>
      <w:bookmarkEnd w:id="23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4" w:name="bookmark24"/>
      <w:bookmarkEnd w:id="24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5"/>
      <w:bookmarkEnd w:id="25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6" w:name="bookmark26"/>
      <w:bookmarkEnd w:id="26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7" w:name="bookmark27"/>
      <w:bookmarkEnd w:id="27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9" w:name="bookmark29"/>
      <w:bookmarkEnd w:id="29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0" w:name="bookmark30"/>
      <w:bookmarkEnd w:id="30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1" w:name="bookmark31"/>
      <w:bookmarkEnd w:id="31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2" w:name="bookmark32"/>
      <w:bookmarkEnd w:id="32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3"/>
      <w:bookmarkEnd w:id="33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4" w:name="bookmark34"/>
      <w:bookmarkEnd w:id="34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5" w:name="bookmark35"/>
      <w:bookmarkEnd w:id="35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6" w:name="bookmark36"/>
      <w:bookmarkEnd w:id="3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7" w:name="bookmark37"/>
      <w:bookmarkEnd w:id="37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8" w:name="bookmark38"/>
      <w:bookmarkEnd w:id="38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1" w:name="bookmark41"/>
      <w:bookmarkEnd w:id="41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2" w:name="bookmark42"/>
      <w:bookmarkEnd w:id="42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3" w:name="bookmark43"/>
      <w:bookmarkEnd w:id="43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4" w:name="bookmark44"/>
      <w:bookmarkEnd w:id="44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5" w:name="bookmark45"/>
      <w:bookmarkEnd w:id="45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6" w:name="bookmark46"/>
      <w:bookmarkEnd w:id="46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7" w:name="bookmark47"/>
      <w:bookmarkEnd w:id="47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8"/>
      <w:bookmarkEnd w:id="48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9" w:name="bookmark49"/>
      <w:bookmarkEnd w:id="49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50" w:name="bookmark50"/>
      <w:bookmarkEnd w:id="50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1" w:name="bookmark51"/>
      <w:r w:rsidRPr="0042248B">
        <w:rPr>
          <w:sz w:val="24"/>
          <w:szCs w:val="24"/>
        </w:rPr>
        <w:t>а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2" w:name="bookmark52"/>
      <w:r w:rsidRPr="0042248B">
        <w:rPr>
          <w:sz w:val="24"/>
          <w:szCs w:val="24"/>
        </w:rPr>
        <w:t>б</w:t>
      </w:r>
      <w:bookmarkEnd w:id="52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3"/>
      <w:bookmarkEnd w:id="53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4" w:name="bookmark54"/>
      <w:bookmarkEnd w:id="54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5"/>
      <w:bookmarkEnd w:id="55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6" w:name="bookmark56"/>
      <w:bookmarkEnd w:id="56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7" w:name="bookmark57"/>
      <w:bookmarkEnd w:id="57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8"/>
      <w:bookmarkEnd w:id="58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9" w:name="bookmark59"/>
      <w:bookmarkEnd w:id="59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0" w:name="bookmark60"/>
      <w:bookmarkEnd w:id="60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1" w:name="bookmark61"/>
      <w:bookmarkEnd w:id="61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2" w:name="bookmark62"/>
      <w:bookmarkEnd w:id="62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3" w:name="bookmark63"/>
      <w:bookmarkEnd w:id="63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4" w:name="bookmark64"/>
      <w:bookmarkEnd w:id="64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5" w:name="bookmark65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6" w:name="bookmark66"/>
      <w:bookmarkEnd w:id="66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7" w:name="bookmark67"/>
      <w:bookmarkEnd w:id="67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8" w:name="bookmark68"/>
      <w:bookmarkEnd w:id="68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9" w:name="bookmark69"/>
      <w:bookmarkEnd w:id="69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0"/>
      <w:bookmarkEnd w:id="70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1"/>
      <w:bookmarkEnd w:id="71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2"/>
      <w:bookmarkEnd w:id="72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3" w:name="bookmark73"/>
      <w:bookmarkEnd w:id="73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4" w:name="bookmark74"/>
      <w:bookmarkEnd w:id="74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6"/>
      <w:bookmarkEnd w:id="76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7" w:name="bookmark77"/>
      <w:bookmarkEnd w:id="77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8" w:name="bookmark78"/>
      <w:bookmarkEnd w:id="78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9" w:name="bookmark79"/>
      <w:bookmarkEnd w:id="79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80" w:name="bookmark80"/>
      <w:bookmarkEnd w:id="80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1"/>
      <w:bookmarkEnd w:id="81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2" w:name="bookmark82"/>
      <w:bookmarkEnd w:id="82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3"/>
      <w:bookmarkEnd w:id="83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4" w:name="bookmark84"/>
      <w:bookmarkEnd w:id="84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5" w:name="bookmark85"/>
      <w:bookmarkEnd w:id="85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6" w:name="bookmark86"/>
      <w:bookmarkEnd w:id="86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7" w:name="bookmark87"/>
      <w:bookmarkEnd w:id="87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8" w:name="bookmark88"/>
      <w:bookmarkEnd w:id="88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</w:pPr>
      <w:r w:rsidRPr="0042248B">
        <w:rPr>
          <w:bCs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489B" w14:textId="77777777" w:rsidR="0040436D" w:rsidRDefault="0040436D">
      <w:r>
        <w:separator/>
      </w:r>
    </w:p>
  </w:endnote>
  <w:endnote w:type="continuationSeparator" w:id="0">
    <w:p w14:paraId="60668593" w14:textId="77777777" w:rsidR="0040436D" w:rsidRDefault="0040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2D93EC3A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1F2D66">
      <w:rPr>
        <w:noProof/>
      </w:rPr>
      <w:t>2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194A" w14:textId="77777777" w:rsidR="0040436D" w:rsidRDefault="0040436D">
      <w:r>
        <w:separator/>
      </w:r>
    </w:p>
  </w:footnote>
  <w:footnote w:type="continuationSeparator" w:id="0">
    <w:p w14:paraId="34A4DA29" w14:textId="77777777" w:rsidR="0040436D" w:rsidRDefault="0040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5E29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A66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A69AB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0796D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5F1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779F6"/>
    <w:rsid w:val="0018613F"/>
    <w:rsid w:val="0018624D"/>
    <w:rsid w:val="00187F9F"/>
    <w:rsid w:val="00190CCA"/>
    <w:rsid w:val="001911D1"/>
    <w:rsid w:val="00193117"/>
    <w:rsid w:val="0019327A"/>
    <w:rsid w:val="00193458"/>
    <w:rsid w:val="00195EFC"/>
    <w:rsid w:val="00196436"/>
    <w:rsid w:val="00196827"/>
    <w:rsid w:val="00197618"/>
    <w:rsid w:val="00197F6E"/>
    <w:rsid w:val="001A008D"/>
    <w:rsid w:val="001A01FD"/>
    <w:rsid w:val="001A1DD7"/>
    <w:rsid w:val="001A2317"/>
    <w:rsid w:val="001A23FA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57F5"/>
    <w:rsid w:val="001E6FD4"/>
    <w:rsid w:val="001F0DCE"/>
    <w:rsid w:val="001F19A3"/>
    <w:rsid w:val="001F2119"/>
    <w:rsid w:val="001F2D66"/>
    <w:rsid w:val="001F3034"/>
    <w:rsid w:val="001F6F07"/>
    <w:rsid w:val="00201653"/>
    <w:rsid w:val="0020183B"/>
    <w:rsid w:val="00201E7E"/>
    <w:rsid w:val="00202013"/>
    <w:rsid w:val="00202EDB"/>
    <w:rsid w:val="00206BD5"/>
    <w:rsid w:val="002100CE"/>
    <w:rsid w:val="002103E1"/>
    <w:rsid w:val="00210571"/>
    <w:rsid w:val="002109EC"/>
    <w:rsid w:val="00211060"/>
    <w:rsid w:val="0021277D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44E7A"/>
    <w:rsid w:val="00252CE1"/>
    <w:rsid w:val="002572FC"/>
    <w:rsid w:val="00264180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5463"/>
    <w:rsid w:val="00286A87"/>
    <w:rsid w:val="00286BE7"/>
    <w:rsid w:val="0029005F"/>
    <w:rsid w:val="0029017D"/>
    <w:rsid w:val="0029155B"/>
    <w:rsid w:val="00295663"/>
    <w:rsid w:val="00295978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259E5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CB6"/>
    <w:rsid w:val="00344DA7"/>
    <w:rsid w:val="00347980"/>
    <w:rsid w:val="003504A1"/>
    <w:rsid w:val="00350A74"/>
    <w:rsid w:val="00352374"/>
    <w:rsid w:val="003562E5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36D"/>
    <w:rsid w:val="00404E2F"/>
    <w:rsid w:val="00404E62"/>
    <w:rsid w:val="004073D1"/>
    <w:rsid w:val="00410828"/>
    <w:rsid w:val="00410AF1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347"/>
    <w:rsid w:val="00476FB5"/>
    <w:rsid w:val="004775F0"/>
    <w:rsid w:val="00482D2B"/>
    <w:rsid w:val="0048603C"/>
    <w:rsid w:val="004902C7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1A09"/>
    <w:rsid w:val="005033D2"/>
    <w:rsid w:val="00505FCF"/>
    <w:rsid w:val="005065B2"/>
    <w:rsid w:val="005069B8"/>
    <w:rsid w:val="00507875"/>
    <w:rsid w:val="005113AE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65C7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5E4B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47E45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37AE0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065B"/>
    <w:rsid w:val="007C1E1D"/>
    <w:rsid w:val="007C5179"/>
    <w:rsid w:val="007C5DFC"/>
    <w:rsid w:val="007C6B69"/>
    <w:rsid w:val="007C7115"/>
    <w:rsid w:val="007C74AE"/>
    <w:rsid w:val="007D07EC"/>
    <w:rsid w:val="007D30B0"/>
    <w:rsid w:val="007D5EE0"/>
    <w:rsid w:val="007D64CA"/>
    <w:rsid w:val="007D78F5"/>
    <w:rsid w:val="007E01C0"/>
    <w:rsid w:val="007E1D0F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1B1D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6B63"/>
    <w:rsid w:val="008273EB"/>
    <w:rsid w:val="00831542"/>
    <w:rsid w:val="008319D7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37E21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A64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1100"/>
    <w:rsid w:val="009C1AD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3FF4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3A66"/>
    <w:rsid w:val="00A54FBD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3A85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01D7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6996"/>
    <w:rsid w:val="00B472EF"/>
    <w:rsid w:val="00B47B75"/>
    <w:rsid w:val="00B47F5A"/>
    <w:rsid w:val="00B5193E"/>
    <w:rsid w:val="00B52362"/>
    <w:rsid w:val="00B53E49"/>
    <w:rsid w:val="00B57EC9"/>
    <w:rsid w:val="00B605F3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251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35"/>
    <w:rsid w:val="00C410E9"/>
    <w:rsid w:val="00C41FE3"/>
    <w:rsid w:val="00C42E24"/>
    <w:rsid w:val="00C44746"/>
    <w:rsid w:val="00C45893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619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B7CF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3907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5A1E"/>
    <w:rsid w:val="00D06BC2"/>
    <w:rsid w:val="00D1034A"/>
    <w:rsid w:val="00D10465"/>
    <w:rsid w:val="00D13912"/>
    <w:rsid w:val="00D141CA"/>
    <w:rsid w:val="00D148B6"/>
    <w:rsid w:val="00D20969"/>
    <w:rsid w:val="00D226D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1848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D6CFB"/>
    <w:rsid w:val="00DE3915"/>
    <w:rsid w:val="00DE7015"/>
    <w:rsid w:val="00DE765E"/>
    <w:rsid w:val="00DF1178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391"/>
    <w:rsid w:val="00E62535"/>
    <w:rsid w:val="00E63E2D"/>
    <w:rsid w:val="00E66BE5"/>
    <w:rsid w:val="00E66D6D"/>
    <w:rsid w:val="00E6737B"/>
    <w:rsid w:val="00E67CC9"/>
    <w:rsid w:val="00E70816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2565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EF7872"/>
    <w:rsid w:val="00F00270"/>
    <w:rsid w:val="00F00616"/>
    <w:rsid w:val="00F03AA8"/>
    <w:rsid w:val="00F05C48"/>
    <w:rsid w:val="00F109AD"/>
    <w:rsid w:val="00F11E2E"/>
    <w:rsid w:val="00F136CB"/>
    <w:rsid w:val="00F14355"/>
    <w:rsid w:val="00F14A2B"/>
    <w:rsid w:val="00F14AC0"/>
    <w:rsid w:val="00F14E1D"/>
    <w:rsid w:val="00F15BB9"/>
    <w:rsid w:val="00F17B25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05C4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1572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27A1E490-D089-524A-9942-E46D164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1A66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Cs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color w:val="000000"/>
      <w:szCs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color w:val="000000"/>
      <w:szCs w:val="20"/>
    </w:r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color w:val="000000"/>
      <w:szCs w:val="20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color w:val="000000"/>
      <w:sz w:val="20"/>
      <w:szCs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color w:val="000000"/>
      <w:szCs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  <w:rPr>
      <w:color w:val="000000"/>
      <w:szCs w:val="20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  <w:rPr>
      <w:color w:val="000000"/>
      <w:szCs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  <w:rPr>
      <w:color w:val="000000"/>
      <w:szCs w:val="20"/>
    </w:r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  <w:rPr>
      <w:color w:val="000000"/>
      <w:szCs w:val="20"/>
    </w:r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  <w:szCs w:val="20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color w:val="000000"/>
      <w:sz w:val="16"/>
      <w:szCs w:val="20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color w:val="000000"/>
      <w:sz w:val="20"/>
      <w:szCs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color w:val="000000"/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color w:val="000000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</cp:lastModifiedBy>
  <cp:revision>11</cp:revision>
  <dcterms:created xsi:type="dcterms:W3CDTF">2026-03-25T23:21:00Z</dcterms:created>
  <dcterms:modified xsi:type="dcterms:W3CDTF">2026-03-27T16:55:00Z</dcterms:modified>
</cp:coreProperties>
</file>