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>Постановления Правительства Российской Федерации от 10.09.2012 № 909 «Об определении официального сайта Российской Федерации в информационно</w:t>
      </w:r>
      <w:r w:rsidRPr="0042248B">
        <w:rPr>
          <w:sz w:val="24"/>
          <w:szCs w:val="24"/>
        </w:rPr>
        <w:softHyphen/>
        <w:t>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r w:rsidR="000341FA" w:rsidRPr="0042248B">
        <w:rPr>
          <w:color w:val="0000FF"/>
          <w:sz w:val="24"/>
          <w:szCs w:val="24"/>
          <w:u w:val="single"/>
        </w:rPr>
        <w:t>-</w:t>
      </w:r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r w:rsidRPr="0042248B">
        <w:rPr>
          <w:color w:val="0000FF"/>
          <w:sz w:val="24"/>
          <w:szCs w:val="24"/>
          <w:u w:val="single"/>
        </w:rPr>
        <w:t>.ru/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  <w:szCs w:val="24"/>
        </w:rPr>
      </w:pPr>
    </w:p>
    <w:p w14:paraId="10D560A6" w14:textId="55F62665" w:rsidR="00671FF1" w:rsidRPr="007D7D5E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42248B">
        <w:rPr>
          <w:b/>
          <w:szCs w:val="24"/>
        </w:rPr>
        <w:t xml:space="preserve">Дата и время начала приема заявок на участие в </w:t>
      </w:r>
      <w:r w:rsidRPr="007D7D5E">
        <w:rPr>
          <w:b/>
          <w:szCs w:val="24"/>
        </w:rPr>
        <w:t>аукционе</w:t>
      </w:r>
      <w:r w:rsidRPr="007D7D5E">
        <w:rPr>
          <w:szCs w:val="24"/>
        </w:rPr>
        <w:t xml:space="preserve"> – </w:t>
      </w:r>
      <w:r w:rsidR="007D7D5E">
        <w:rPr>
          <w:szCs w:val="24"/>
        </w:rPr>
        <w:t>04</w:t>
      </w:r>
      <w:r w:rsidR="00295663" w:rsidRPr="007D7D5E">
        <w:rPr>
          <w:szCs w:val="24"/>
        </w:rPr>
        <w:t xml:space="preserve"> </w:t>
      </w:r>
      <w:r w:rsidR="007D7D5E">
        <w:rPr>
          <w:szCs w:val="24"/>
        </w:rPr>
        <w:t>марта</w:t>
      </w:r>
      <w:r w:rsidRPr="007D7D5E">
        <w:rPr>
          <w:szCs w:val="24"/>
        </w:rPr>
        <w:t xml:space="preserve"> 2026 г. с </w:t>
      </w:r>
      <w:r w:rsidR="007D7D5E">
        <w:rPr>
          <w:szCs w:val="24"/>
        </w:rPr>
        <w:t xml:space="preserve">18:00 </w:t>
      </w:r>
      <w:r w:rsidRPr="007D7D5E">
        <w:rPr>
          <w:szCs w:val="24"/>
        </w:rPr>
        <w:t>по московскому времени.</w:t>
      </w:r>
    </w:p>
    <w:p w14:paraId="64E96E29" w14:textId="7840B736" w:rsidR="00671FF1" w:rsidRPr="007D7D5E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7D7D5E">
        <w:rPr>
          <w:b/>
          <w:szCs w:val="24"/>
        </w:rPr>
        <w:t>Дата и время окончания приема заявок на участие в аукционе</w:t>
      </w:r>
      <w:r w:rsidRPr="007D7D5E">
        <w:rPr>
          <w:szCs w:val="24"/>
        </w:rPr>
        <w:t xml:space="preserve"> – </w:t>
      </w:r>
      <w:r w:rsidR="007D7D5E">
        <w:rPr>
          <w:szCs w:val="24"/>
        </w:rPr>
        <w:t>31</w:t>
      </w:r>
      <w:r w:rsidRPr="007D7D5E">
        <w:rPr>
          <w:szCs w:val="24"/>
        </w:rPr>
        <w:t xml:space="preserve"> </w:t>
      </w:r>
      <w:r w:rsidR="000341FA" w:rsidRPr="007D7D5E">
        <w:rPr>
          <w:szCs w:val="24"/>
        </w:rPr>
        <w:t>марта</w:t>
      </w:r>
      <w:r w:rsidRPr="007D7D5E">
        <w:rPr>
          <w:szCs w:val="24"/>
        </w:rPr>
        <w:t xml:space="preserve"> 2026 г. до 10‍:‍00 по московскому времени.</w:t>
      </w:r>
    </w:p>
    <w:p w14:paraId="6732171A" w14:textId="5925A787" w:rsidR="00671FF1" w:rsidRPr="007D7D5E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7D7D5E">
        <w:rPr>
          <w:b/>
          <w:szCs w:val="24"/>
        </w:rPr>
        <w:t>Дата подведения итогов приема заявок на участие в торгах –</w:t>
      </w:r>
      <w:r w:rsidRPr="007D7D5E">
        <w:rPr>
          <w:szCs w:val="24"/>
        </w:rPr>
        <w:t xml:space="preserve"> </w:t>
      </w:r>
      <w:r w:rsidRPr="007D7D5E">
        <w:rPr>
          <w:szCs w:val="24"/>
        </w:rPr>
        <w:br/>
      </w:r>
      <w:r w:rsidR="007D7D5E">
        <w:rPr>
          <w:szCs w:val="24"/>
        </w:rPr>
        <w:t>03</w:t>
      </w:r>
      <w:r w:rsidRPr="007D7D5E">
        <w:rPr>
          <w:szCs w:val="24"/>
        </w:rPr>
        <w:t xml:space="preserve"> </w:t>
      </w:r>
      <w:r w:rsidR="007D7D5E">
        <w:rPr>
          <w:szCs w:val="24"/>
        </w:rPr>
        <w:t>апреля</w:t>
      </w:r>
      <w:r w:rsidRPr="007D7D5E">
        <w:rPr>
          <w:szCs w:val="24"/>
        </w:rPr>
        <w:t xml:space="preserve"> 2026 г. </w:t>
      </w:r>
    </w:p>
    <w:p w14:paraId="07AD3F4D" w14:textId="77D0420E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7D7D5E">
        <w:rPr>
          <w:b/>
          <w:szCs w:val="24"/>
        </w:rPr>
        <w:t>Дата, время и место проведения торгов (подведения итогов торгов)</w:t>
      </w:r>
      <w:r w:rsidRPr="007D7D5E">
        <w:rPr>
          <w:szCs w:val="24"/>
        </w:rPr>
        <w:t xml:space="preserve"> – </w:t>
      </w:r>
      <w:r w:rsidRPr="007D7D5E">
        <w:rPr>
          <w:szCs w:val="24"/>
        </w:rPr>
        <w:br/>
      </w:r>
      <w:r w:rsidR="007D7D5E">
        <w:rPr>
          <w:szCs w:val="24"/>
        </w:rPr>
        <w:t>06</w:t>
      </w:r>
      <w:r w:rsidRPr="007D7D5E">
        <w:rPr>
          <w:szCs w:val="24"/>
        </w:rPr>
        <w:t xml:space="preserve"> </w:t>
      </w:r>
      <w:r w:rsidR="007D7D5E">
        <w:rPr>
          <w:szCs w:val="24"/>
        </w:rPr>
        <w:t>апреля</w:t>
      </w:r>
      <w:r w:rsidRPr="007D7D5E">
        <w:rPr>
          <w:szCs w:val="24"/>
        </w:rPr>
        <w:t xml:space="preserve"> 2026 г. в 10‍:‍00 по московскому времени на ЭТП «</w:t>
      </w:r>
      <w:r w:rsidR="00295663" w:rsidRPr="007D7D5E">
        <w:rPr>
          <w:szCs w:val="24"/>
        </w:rPr>
        <w:t>Гарант</w:t>
      </w:r>
      <w:r w:rsidRPr="007D7D5E">
        <w:rPr>
          <w:szCs w:val="24"/>
        </w:rPr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383F0CA0" w14:textId="44A7275D" w:rsidR="00851685" w:rsidRPr="0042248B" w:rsidRDefault="00717BC8" w:rsidP="0042248B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  <w:color w:val="auto"/>
          <w:szCs w:val="24"/>
        </w:rPr>
      </w:pPr>
      <w:r w:rsidRPr="0042248B">
        <w:rPr>
          <w:color w:val="auto"/>
          <w:szCs w:val="24"/>
        </w:rPr>
        <w:tab/>
      </w:r>
      <w:r w:rsidRPr="0042248B">
        <w:rPr>
          <w:color w:val="auto"/>
          <w:szCs w:val="24"/>
        </w:rPr>
        <w:tab/>
      </w:r>
      <w:r w:rsidR="00295663" w:rsidRPr="0042248B">
        <w:rPr>
          <w:b/>
          <w:color w:val="auto"/>
          <w:szCs w:val="24"/>
        </w:rPr>
        <w:t>2</w:t>
      </w:r>
      <w:r w:rsidRPr="0042248B">
        <w:rPr>
          <w:b/>
          <w:color w:val="auto"/>
          <w:szCs w:val="24"/>
        </w:rPr>
        <w:t>. Сведен</w:t>
      </w:r>
      <w:bookmarkStart w:id="9" w:name="_GoBack"/>
      <w:bookmarkEnd w:id="9"/>
      <w:r w:rsidRPr="0042248B">
        <w:rPr>
          <w:b/>
          <w:color w:val="auto"/>
          <w:szCs w:val="24"/>
        </w:rPr>
        <w:t>ия о выставляемом на торги имуществе</w:t>
      </w:r>
    </w:p>
    <w:p w14:paraId="1A18A956" w14:textId="62C25884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69706D" w:rsidRPr="00176241">
        <w:rPr>
          <w:b/>
          <w:color w:val="auto"/>
          <w:szCs w:val="24"/>
        </w:rPr>
        <w:t>1</w:t>
      </w:r>
      <w:r w:rsidRPr="00176241">
        <w:rPr>
          <w:b/>
          <w:color w:val="auto"/>
          <w:szCs w:val="24"/>
        </w:rPr>
        <w:t xml:space="preserve"> (первичные торги).</w:t>
      </w:r>
      <w:r w:rsidRPr="00176241">
        <w:rPr>
          <w:bCs/>
          <w:color w:val="auto"/>
          <w:szCs w:val="24"/>
        </w:rPr>
        <w:t xml:space="preserve">  Доля в праве в общей долевой собственности (4</w:t>
      </w:r>
      <w:r w:rsidR="0069706D" w:rsidRPr="00176241">
        <w:rPr>
          <w:bCs/>
          <w:color w:val="auto"/>
          <w:szCs w:val="24"/>
        </w:rPr>
        <w:t xml:space="preserve">/3962 доли) </w:t>
      </w:r>
      <w:r w:rsidRPr="00176241">
        <w:rPr>
          <w:bCs/>
          <w:color w:val="auto"/>
          <w:szCs w:val="24"/>
        </w:rPr>
        <w:t>на земельный участок</w:t>
      </w:r>
      <w:r w:rsidR="0069706D" w:rsidRPr="00176241">
        <w:rPr>
          <w:bCs/>
          <w:color w:val="auto"/>
          <w:szCs w:val="24"/>
        </w:rPr>
        <w:t xml:space="preserve"> площадью 152139648 кв.м.</w:t>
      </w:r>
      <w:r w:rsidRPr="00176241">
        <w:rPr>
          <w:bCs/>
          <w:color w:val="auto"/>
          <w:szCs w:val="24"/>
        </w:rPr>
        <w:t xml:space="preserve"> с кадастровым номером 56:09:0000000:59, Категория земель – земли сельскохозяйственного назначения, ВРИ –</w:t>
      </w:r>
      <w:r w:rsidR="0069706D" w:rsidRPr="00176241">
        <w:rPr>
          <w:bCs/>
          <w:color w:val="auto"/>
          <w:szCs w:val="24"/>
        </w:rPr>
        <w:t xml:space="preserve"> </w:t>
      </w:r>
      <w:r w:rsidR="00176241" w:rsidRPr="00176241">
        <w:rPr>
          <w:bCs/>
          <w:color w:val="auto"/>
          <w:szCs w:val="24"/>
        </w:rPr>
        <w:t>для сельскохозяйственного</w:t>
      </w:r>
      <w:r w:rsidRPr="00176241">
        <w:rPr>
          <w:bCs/>
          <w:color w:val="auto"/>
          <w:szCs w:val="24"/>
        </w:rPr>
        <w:t xml:space="preserve"> использования, местоположение: Оренбургская область, Гайский район, ЗАО «Гай». Обременение – аресты.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Адаева Ж.З.</w:t>
      </w:r>
      <w:r w:rsidRPr="00176241">
        <w:rPr>
          <w:bCs/>
          <w:color w:val="auto"/>
          <w:szCs w:val="24"/>
        </w:rPr>
        <w:t xml:space="preserve"> (уведомление № 148 от 05.02.2026). Судебный пристав-исполнитель Гайского РОСП ГУФССП России по Оренбургской области Тимакова С.Ю. (тел. +7 (3532) 34-19-05).</w:t>
      </w:r>
    </w:p>
    <w:p w14:paraId="3F250D54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>Начальная цена – 248 520 руб. (НДС не облагается), задаток 37 278 руб., шаг аукциона 2 485,20 руб.</w:t>
      </w:r>
    </w:p>
    <w:p w14:paraId="0B7D1521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</w:p>
    <w:p w14:paraId="58A03CA6" w14:textId="5DBFBD53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69706D" w:rsidRPr="00176241">
        <w:rPr>
          <w:b/>
          <w:color w:val="auto"/>
          <w:szCs w:val="24"/>
        </w:rPr>
        <w:t>2</w:t>
      </w:r>
      <w:r w:rsidRPr="00176241">
        <w:rPr>
          <w:b/>
          <w:color w:val="auto"/>
          <w:szCs w:val="24"/>
        </w:rPr>
        <w:t xml:space="preserve"> (первичные торги).</w:t>
      </w:r>
      <w:r w:rsidRPr="00176241">
        <w:rPr>
          <w:bCs/>
          <w:color w:val="auto"/>
          <w:szCs w:val="24"/>
        </w:rPr>
        <w:t xml:space="preserve"> </w:t>
      </w:r>
      <w:r w:rsidR="0069706D" w:rsidRPr="00176241">
        <w:rPr>
          <w:bCs/>
          <w:color w:val="auto"/>
          <w:szCs w:val="24"/>
        </w:rPr>
        <w:t>Доля в праве в общей долевой собственности (4/3962 доли) на земельный участок площадью 152139648 кв.м. с кадастровым номером 56:09:0000000:59</w:t>
      </w:r>
      <w:r w:rsidRPr="00176241">
        <w:rPr>
          <w:bCs/>
          <w:color w:val="auto"/>
          <w:szCs w:val="24"/>
        </w:rPr>
        <w:t xml:space="preserve">, Категория земель – земли сельскохозяйственного назначения, ВРИ – для сельскохозяйственного использования, расположенный по адресу: Оренбургская область, Гайский район, ЗАО «Гай».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Назарова Ж.З.</w:t>
      </w:r>
      <w:r w:rsidRPr="00176241">
        <w:rPr>
          <w:bCs/>
          <w:color w:val="auto"/>
          <w:szCs w:val="24"/>
        </w:rPr>
        <w:t xml:space="preserve"> (уведомление № 145 от 05.02.2026). Судебный пристав-исполнитель Гайского РОСП ГУФССП России по Оренбургской области Тимакова С.Ю. (тел. +7(3532)34-19-05).</w:t>
      </w:r>
    </w:p>
    <w:p w14:paraId="164385D9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>Начальная цена – 248 520 руб. (НДС не облагается), задаток 37 278 руб., шаг аукциона 2 485,20 руб.</w:t>
      </w:r>
    </w:p>
    <w:p w14:paraId="37728BA2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</w:p>
    <w:p w14:paraId="4063895D" w14:textId="632CD659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69706D" w:rsidRPr="00176241">
        <w:rPr>
          <w:b/>
          <w:color w:val="auto"/>
          <w:szCs w:val="24"/>
        </w:rPr>
        <w:t>3</w:t>
      </w:r>
      <w:r w:rsidRPr="00176241">
        <w:rPr>
          <w:b/>
          <w:color w:val="auto"/>
          <w:szCs w:val="24"/>
        </w:rPr>
        <w:t xml:space="preserve"> (первичные торги).</w:t>
      </w:r>
      <w:r w:rsidRPr="00176241">
        <w:rPr>
          <w:bCs/>
          <w:color w:val="auto"/>
          <w:szCs w:val="24"/>
        </w:rPr>
        <w:t xml:space="preserve">  </w:t>
      </w:r>
      <w:r w:rsidR="0069706D" w:rsidRPr="00176241">
        <w:rPr>
          <w:bCs/>
          <w:color w:val="auto"/>
          <w:szCs w:val="24"/>
        </w:rPr>
        <w:t>Доля в праве в общей долевой собственности (4/3962 доли) на земельный участок площадью 152139648 кв.м. с кадастровым номером 56:09:0000000:59</w:t>
      </w:r>
      <w:r w:rsidRPr="00176241">
        <w:rPr>
          <w:bCs/>
          <w:color w:val="auto"/>
          <w:szCs w:val="24"/>
        </w:rPr>
        <w:t xml:space="preserve">, Категория земель – земли сельскохозяйственного назначения, ВРИ – для сельскохозяйственного использования, расположенный по адресу: Оренбургская область, Гайский район, ЗАО «Гай».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Мурзагалиева К.З.</w:t>
      </w:r>
      <w:r w:rsidRPr="00176241">
        <w:rPr>
          <w:bCs/>
          <w:color w:val="auto"/>
          <w:szCs w:val="24"/>
        </w:rPr>
        <w:t xml:space="preserve"> (уведомление № 144 от 05.02.2026). Судебный пристав-исполнитель Гайского РОСП ГУФССП России по Оренбургской области Тимакова С.Ю. (тел. +7(3532)34-19-05).</w:t>
      </w:r>
    </w:p>
    <w:p w14:paraId="45998183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>Начальная цена – 248 520 руб. (НДС не облагается), задаток 37 278 руб., шаг аукциона 2 485,20 руб.</w:t>
      </w:r>
    </w:p>
    <w:p w14:paraId="2D0A586E" w14:textId="77777777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</w:p>
    <w:p w14:paraId="00EF45A3" w14:textId="7930BC6B" w:rsidR="00616388" w:rsidRPr="00176241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/>
          <w:color w:val="auto"/>
          <w:szCs w:val="24"/>
        </w:rPr>
        <w:t xml:space="preserve">Лот № </w:t>
      </w:r>
      <w:r w:rsidR="0069706D" w:rsidRPr="00176241">
        <w:rPr>
          <w:b/>
          <w:color w:val="auto"/>
          <w:szCs w:val="24"/>
        </w:rPr>
        <w:t>4</w:t>
      </w:r>
      <w:r w:rsidRPr="00176241">
        <w:rPr>
          <w:b/>
          <w:color w:val="auto"/>
          <w:szCs w:val="24"/>
        </w:rPr>
        <w:t xml:space="preserve"> (первичные торги).</w:t>
      </w:r>
      <w:r w:rsidRPr="00176241">
        <w:rPr>
          <w:bCs/>
          <w:color w:val="auto"/>
          <w:szCs w:val="24"/>
        </w:rPr>
        <w:t xml:space="preserve">  </w:t>
      </w:r>
      <w:r w:rsidR="0069706D" w:rsidRPr="00176241">
        <w:rPr>
          <w:bCs/>
          <w:color w:val="auto"/>
          <w:szCs w:val="24"/>
        </w:rPr>
        <w:t>Доля в праве в общей долевой собственности (4/3962 доли) на земельный участок площадью 152 139 648 кв.м. с кадастровым номером 56:09:0000000:59</w:t>
      </w:r>
      <w:r w:rsidRPr="00176241">
        <w:rPr>
          <w:bCs/>
          <w:color w:val="auto"/>
          <w:szCs w:val="24"/>
        </w:rPr>
        <w:t xml:space="preserve">, Категория земель – земли сельскохозяйственного назначения, ВРИ – для сельскохозяйственного использования, расположенный по адресу: Оренбургская область, Гайский район, ЗАО «Гай». Обременение – аресты, граница земельного участка не установлена в соответствии с требованиями земельного законодательства. </w:t>
      </w:r>
      <w:r w:rsidRPr="00176241">
        <w:rPr>
          <w:b/>
          <w:color w:val="auto"/>
          <w:szCs w:val="24"/>
        </w:rPr>
        <w:t>Собственник – Тасбулатова М.</w:t>
      </w:r>
      <w:r w:rsidRPr="00176241">
        <w:rPr>
          <w:bCs/>
          <w:color w:val="auto"/>
          <w:szCs w:val="24"/>
        </w:rPr>
        <w:t xml:space="preserve"> (уведомление № 146 от 05.02.2026). Судебный пристав-исполнитель Гайского РОСП ГУФССП России по Оренбургской области Тимакова С.Ю. (тел. +7(3532)34-19-05).</w:t>
      </w:r>
    </w:p>
    <w:p w14:paraId="764F313D" w14:textId="77777777" w:rsidR="00616388" w:rsidRPr="00616388" w:rsidRDefault="00616388" w:rsidP="00616388">
      <w:pPr>
        <w:ind w:firstLine="709"/>
        <w:jc w:val="both"/>
        <w:rPr>
          <w:bCs/>
          <w:color w:val="auto"/>
          <w:szCs w:val="24"/>
        </w:rPr>
      </w:pPr>
      <w:r w:rsidRPr="00176241">
        <w:rPr>
          <w:bCs/>
          <w:color w:val="auto"/>
          <w:szCs w:val="24"/>
        </w:rPr>
        <w:t>Начальная цена – 248 520 руб. (НДС не облагается), задаток 37 278 руб., шаг аукциона 2 485,20 руб.</w:t>
      </w:r>
    </w:p>
    <w:p w14:paraId="5720E5C0" w14:textId="1858EA2B" w:rsidR="00616388" w:rsidRDefault="00616388" w:rsidP="00616388">
      <w:pPr>
        <w:ind w:firstLine="709"/>
        <w:jc w:val="both"/>
        <w:rPr>
          <w:b/>
          <w:color w:val="auto"/>
          <w:szCs w:val="24"/>
        </w:rPr>
      </w:pPr>
    </w:p>
    <w:p w14:paraId="365CCCE9" w14:textId="2BBF17AE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5</w:t>
      </w:r>
      <w:r w:rsidRPr="003E5131">
        <w:rPr>
          <w:b/>
          <w:color w:val="auto"/>
          <w:szCs w:val="24"/>
        </w:rPr>
        <w:t xml:space="preserve"> (вторичные торги).</w:t>
      </w:r>
      <w:r w:rsidRPr="003E5131">
        <w:rPr>
          <w:color w:val="auto"/>
          <w:szCs w:val="24"/>
        </w:rPr>
        <w:t xml:space="preserve">  Доля в праве 2/21 в праве общей долевой собственности на земельный участок площадью 732000 кв.м., кадастровый номер 56:14:1420005:20, категория: земли сельскохозяйственного назначения, вид разрешенного использования: для  сельскохозяйственного использования, местоположение: Оренбургская область, Красногвардейский район, с/с Свердловский, земельный участок расположен в северной части кадастрового квартала № 56:14:1420005. Имеется ограничение (обременение) права: арест. Собственники (правообладатели): </w:t>
      </w:r>
      <w:r w:rsidRPr="003E5131">
        <w:rPr>
          <w:b/>
          <w:bCs/>
          <w:color w:val="auto"/>
          <w:szCs w:val="24"/>
        </w:rPr>
        <w:t>Гугнин А.М.</w:t>
      </w:r>
      <w:r w:rsidRPr="003E5131">
        <w:rPr>
          <w:color w:val="auto"/>
          <w:szCs w:val="24"/>
        </w:rPr>
        <w:t xml:space="preserve"> Судебный пристав-исполнитель СОСП по Оренбургской области Шатилов Е.М. тел.: +7 (495) 249-30- 51. </w:t>
      </w:r>
    </w:p>
    <w:p w14:paraId="212DDA57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color w:val="auto"/>
          <w:szCs w:val="24"/>
        </w:rPr>
        <w:t>Начальная цена – 318 070 руб. (НДС не облагается), задаток 47 710,50 руб., шаг аукциона 3 180,70 руб.</w:t>
      </w:r>
    </w:p>
    <w:p w14:paraId="771E1152" w14:textId="77777777" w:rsidR="003E5131" w:rsidRPr="003E5131" w:rsidRDefault="003E5131" w:rsidP="003E5131">
      <w:pPr>
        <w:jc w:val="both"/>
        <w:rPr>
          <w:b/>
          <w:color w:val="auto"/>
          <w:szCs w:val="24"/>
        </w:rPr>
      </w:pPr>
    </w:p>
    <w:p w14:paraId="578B6F33" w14:textId="53AD202E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6</w:t>
      </w:r>
      <w:r w:rsidRPr="003E5131">
        <w:rPr>
          <w:b/>
          <w:color w:val="auto"/>
          <w:szCs w:val="24"/>
        </w:rPr>
        <w:t xml:space="preserve"> (вторичные торги).</w:t>
      </w:r>
      <w:r w:rsidRPr="003E5131">
        <w:rPr>
          <w:color w:val="auto"/>
          <w:szCs w:val="24"/>
        </w:rPr>
        <w:t xml:space="preserve">  Доля в праве 2/21 в праве общей долевой собственности на земельный участок площадью 1515000 кв.м., кадастровый номер 56:14:1421001:39, категория: земли сельскохозяйственного назначения, вид разрешенного использования: для сельскохозяйственного использования, местоположение: Оренбургская область, Красногвардейский район, с/с Свердловский, земельный участок расположен в северной части кадастрового квартала № 56:14:1421001. Имеется ограничение (обременение) права: арест. Собственники (правообладатели): </w:t>
      </w:r>
      <w:r w:rsidRPr="003E5131">
        <w:rPr>
          <w:b/>
          <w:bCs/>
          <w:color w:val="auto"/>
          <w:szCs w:val="24"/>
        </w:rPr>
        <w:t>Гугнин А.М.</w:t>
      </w:r>
      <w:r w:rsidRPr="003E5131">
        <w:rPr>
          <w:color w:val="auto"/>
          <w:szCs w:val="24"/>
        </w:rPr>
        <w:t xml:space="preserve"> Судебный пристав-исполнитель СОСП по Оренбургской области Шатилов Е.М. тел.: +7 (495) 249-30- 51. </w:t>
      </w:r>
    </w:p>
    <w:p w14:paraId="1B35CD79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color w:val="auto"/>
          <w:szCs w:val="24"/>
        </w:rPr>
        <w:t>Начальная цена – 622 540 руб. (НДС не облагается), задаток 93 381 руб., шаг аукциона 6 225,40 руб.</w:t>
      </w:r>
    </w:p>
    <w:p w14:paraId="7A185B8B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</w:p>
    <w:p w14:paraId="137CD35E" w14:textId="457FDCD5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7</w:t>
      </w:r>
      <w:r w:rsidRPr="003E5131">
        <w:rPr>
          <w:b/>
          <w:color w:val="auto"/>
          <w:szCs w:val="24"/>
        </w:rPr>
        <w:t xml:space="preserve"> (вторичные торги).</w:t>
      </w:r>
      <w:r w:rsidRPr="003E5131">
        <w:rPr>
          <w:color w:val="auto"/>
          <w:szCs w:val="24"/>
        </w:rPr>
        <w:t xml:space="preserve">  Доля в праве 2/21 в праве общей долевой собственности на земельный участок площадью 210000 кв.м., кадастровый номер 56:14:1420002:2, категория: земли сельскохозяйственного назначения, вид разрешенного использования: для сельскохозяйственного использования, местоположение: Оренбургская область, Красногвардейский район, с/с Свердловский, земельный участок расположен в северо-восточной части кадастрового квартала № 56:14:1420002. Имеется ограничение (обременение) права: арест. Собственники (правообладатели): </w:t>
      </w:r>
      <w:r w:rsidRPr="003E5131">
        <w:rPr>
          <w:b/>
          <w:bCs/>
          <w:color w:val="auto"/>
          <w:szCs w:val="24"/>
        </w:rPr>
        <w:t>Гугнин А.М.</w:t>
      </w:r>
      <w:r w:rsidRPr="003E5131">
        <w:rPr>
          <w:color w:val="auto"/>
          <w:szCs w:val="24"/>
        </w:rPr>
        <w:t xml:space="preserve"> Судебный пристав-исполнитель СОСП по Оренбургской области Шатилов Е.М. тел.: +7 (495) 249-30- 51. </w:t>
      </w:r>
    </w:p>
    <w:p w14:paraId="36C577F8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color w:val="auto"/>
          <w:szCs w:val="24"/>
        </w:rPr>
        <w:t>Начальная цена – 99 875 руб. (НДС не облагается), задаток 14 981,25 руб., шаг аукциона 998,75 руб.</w:t>
      </w:r>
    </w:p>
    <w:p w14:paraId="50982F1F" w14:textId="77777777" w:rsidR="003E5131" w:rsidRPr="003E5131" w:rsidRDefault="003E5131" w:rsidP="003E5131">
      <w:pPr>
        <w:ind w:firstLine="709"/>
        <w:jc w:val="both"/>
        <w:rPr>
          <w:b/>
          <w:color w:val="auto"/>
          <w:szCs w:val="24"/>
        </w:rPr>
      </w:pPr>
    </w:p>
    <w:p w14:paraId="7954A3C8" w14:textId="765AC9E1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b/>
          <w:bCs/>
          <w:color w:val="auto"/>
          <w:szCs w:val="24"/>
        </w:rPr>
        <w:t xml:space="preserve">Лот № </w:t>
      </w:r>
      <w:r w:rsidR="0069706D">
        <w:rPr>
          <w:b/>
          <w:bCs/>
          <w:color w:val="auto"/>
          <w:szCs w:val="24"/>
        </w:rPr>
        <w:t>8</w:t>
      </w:r>
      <w:r w:rsidRPr="003E5131">
        <w:rPr>
          <w:b/>
          <w:bCs/>
          <w:color w:val="auto"/>
          <w:szCs w:val="24"/>
        </w:rPr>
        <w:t xml:space="preserve"> (вторичные торги).</w:t>
      </w:r>
      <w:r w:rsidRPr="003E5131">
        <w:rPr>
          <w:b/>
          <w:color w:val="auto"/>
          <w:szCs w:val="24"/>
        </w:rPr>
        <w:t> </w:t>
      </w:r>
      <w:r w:rsidRPr="003E5131">
        <w:rPr>
          <w:color w:val="auto"/>
          <w:szCs w:val="24"/>
        </w:rPr>
        <w:t xml:space="preserve">Доля в праве 2/21 в праве общей долевой собственности на земельный участок площадью 132000 кв.м., кадастровый номер 56:14:1420008:2, категория: земли сельскохозяйственного назначения, вид разрешенного использования: для сельскохозяйственного использования, местоположение: Оренбургская область, Красногвардейский район, с/с Свердловский, земельный участок расположен в центральной части кадастрового квартала № 56:14:1420008. Имеется ограничение (обременение) права: арест. Собственники (правообладатели): </w:t>
      </w:r>
      <w:r w:rsidRPr="003E5131">
        <w:rPr>
          <w:b/>
          <w:bCs/>
          <w:color w:val="auto"/>
          <w:szCs w:val="24"/>
        </w:rPr>
        <w:t>Гугнин А.М.</w:t>
      </w:r>
      <w:r w:rsidRPr="003E5131">
        <w:rPr>
          <w:color w:val="auto"/>
          <w:szCs w:val="24"/>
        </w:rPr>
        <w:t xml:space="preserve"> Судебный пристав-исполнитель СОСП по Оренбургской области Шатилов Е.М. тел.: +7 (495) 249-30- 51. </w:t>
      </w:r>
    </w:p>
    <w:p w14:paraId="3F1C2299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color w:val="auto"/>
          <w:szCs w:val="24"/>
        </w:rPr>
        <w:t>Начальная цена – 64 600 руб. (НДС не облагается), задаток 9 690 руб., шаг аукциона 646 руб.</w:t>
      </w:r>
    </w:p>
    <w:p w14:paraId="356813A3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</w:p>
    <w:p w14:paraId="74C615B3" w14:textId="6DD15026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9</w:t>
      </w:r>
      <w:r w:rsidRPr="003E5131">
        <w:rPr>
          <w:b/>
          <w:color w:val="auto"/>
          <w:szCs w:val="24"/>
        </w:rPr>
        <w:t xml:space="preserve"> (вторичные торги).</w:t>
      </w:r>
      <w:r w:rsidRPr="003E5131">
        <w:rPr>
          <w:color w:val="auto"/>
          <w:szCs w:val="24"/>
        </w:rPr>
        <w:t xml:space="preserve"> Доля в праве </w:t>
      </w:r>
      <w:r w:rsidR="002C7899" w:rsidRPr="002C7899">
        <w:rPr>
          <w:color w:val="auto"/>
          <w:szCs w:val="24"/>
        </w:rPr>
        <w:t xml:space="preserve">2/21 доли в праве общей долевой собственности на земельный участок площадью 277000 кв.м., кадастровый номер 56:14:1420008:3, </w:t>
      </w:r>
      <w:r w:rsidR="002C7899" w:rsidRPr="003E5131">
        <w:rPr>
          <w:color w:val="auto"/>
          <w:szCs w:val="24"/>
        </w:rPr>
        <w:t xml:space="preserve">категория: земли сельскохозяйственного назначения, вид разрешенного использования: для сельскохозяйственного использования, местоположение: </w:t>
      </w:r>
      <w:r w:rsidR="002C7899" w:rsidRPr="002C7899">
        <w:rPr>
          <w:color w:val="auto"/>
          <w:szCs w:val="24"/>
        </w:rPr>
        <w:t>Оренбургская область, Красногвардейский район, с/с Свердловский, земельный участок расположен в северной части кадастрового квартала № 56:14:1420008</w:t>
      </w:r>
      <w:r w:rsidRPr="003E5131">
        <w:rPr>
          <w:color w:val="auto"/>
          <w:szCs w:val="24"/>
        </w:rPr>
        <w:t xml:space="preserve">. Имеется ограничение (обременение) права: арест. Собственники (правообладатели): </w:t>
      </w:r>
      <w:r w:rsidRPr="003E5131">
        <w:rPr>
          <w:b/>
          <w:bCs/>
          <w:color w:val="auto"/>
          <w:szCs w:val="24"/>
        </w:rPr>
        <w:t>Гугнин А.М.</w:t>
      </w:r>
      <w:r w:rsidRPr="003E5131">
        <w:rPr>
          <w:color w:val="auto"/>
          <w:szCs w:val="24"/>
        </w:rPr>
        <w:t xml:space="preserve"> Судебный пристав-исполнитель СОСП по Оренбургской области Шатилов Е.М. тел.: +7 (495) 249-30- 51. </w:t>
      </w:r>
    </w:p>
    <w:p w14:paraId="6E3B6AC9" w14:textId="14735BF0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color w:val="auto"/>
          <w:szCs w:val="24"/>
        </w:rPr>
        <w:t xml:space="preserve">Начальная цена – </w:t>
      </w:r>
      <w:r w:rsidR="002C7899">
        <w:rPr>
          <w:color w:val="auto"/>
          <w:szCs w:val="24"/>
        </w:rPr>
        <w:t>129030</w:t>
      </w:r>
      <w:r w:rsidRPr="003E5131">
        <w:rPr>
          <w:color w:val="auto"/>
          <w:szCs w:val="24"/>
        </w:rPr>
        <w:t xml:space="preserve"> руб. (НДС не облагается), задаток </w:t>
      </w:r>
      <w:r w:rsidR="002C7899">
        <w:rPr>
          <w:color w:val="auto"/>
          <w:szCs w:val="24"/>
        </w:rPr>
        <w:t>19354,5</w:t>
      </w:r>
      <w:r w:rsidRPr="003E5131">
        <w:rPr>
          <w:color w:val="auto"/>
          <w:szCs w:val="24"/>
        </w:rPr>
        <w:t xml:space="preserve"> руб., шаг аукциона </w:t>
      </w:r>
      <w:r w:rsidR="002C7899">
        <w:rPr>
          <w:color w:val="auto"/>
          <w:szCs w:val="24"/>
        </w:rPr>
        <w:t>1290,3</w:t>
      </w:r>
      <w:r w:rsidRPr="003E5131">
        <w:rPr>
          <w:color w:val="auto"/>
          <w:szCs w:val="24"/>
        </w:rPr>
        <w:t xml:space="preserve"> руб.</w:t>
      </w:r>
    </w:p>
    <w:p w14:paraId="787C9D79" w14:textId="7777777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</w:p>
    <w:p w14:paraId="5FB21FEB" w14:textId="2EB3DAF7" w:rsidR="003E5131" w:rsidRPr="003E5131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b/>
          <w:bCs/>
          <w:color w:val="auto"/>
          <w:szCs w:val="24"/>
        </w:rPr>
        <w:t>Лот № 1</w:t>
      </w:r>
      <w:r w:rsidR="0069706D">
        <w:rPr>
          <w:b/>
          <w:bCs/>
          <w:color w:val="auto"/>
          <w:szCs w:val="24"/>
        </w:rPr>
        <w:t>0</w:t>
      </w:r>
      <w:r w:rsidRPr="003E5131">
        <w:rPr>
          <w:b/>
          <w:bCs/>
          <w:color w:val="auto"/>
          <w:szCs w:val="24"/>
        </w:rPr>
        <w:t xml:space="preserve"> (вторичные торги).</w:t>
      </w:r>
      <w:r w:rsidRPr="003E5131">
        <w:rPr>
          <w:color w:val="auto"/>
          <w:szCs w:val="24"/>
        </w:rPr>
        <w:t xml:space="preserve"> Доля в праве 2/21 в праве общей долевой собственности на земельный участок площадью 326000 кв.м., кадастровый номер 56:14:1420007:2, категория: земли сельскохозяйственного назначения, вид разрешенного использования: для сельскохозяйственного использования, местоположение: Оренбургская область, Красногвардейский район, с/с Свердловский, земельный участок расположен в северной части кадастрового квартала  56:14:1420007. Имеется ограничение (обременение) права: арест. Собственники (правообладатели): </w:t>
      </w:r>
      <w:r w:rsidRPr="003E5131">
        <w:rPr>
          <w:b/>
          <w:bCs/>
          <w:color w:val="auto"/>
          <w:szCs w:val="24"/>
        </w:rPr>
        <w:t>Гугнин А.М</w:t>
      </w:r>
      <w:r w:rsidRPr="003E5131">
        <w:rPr>
          <w:color w:val="auto"/>
          <w:szCs w:val="24"/>
        </w:rPr>
        <w:t xml:space="preserve">. Судебный пристав-исполнитель СОСП по Оренбургской области Шатилов Е.М. тел.: +7 (495) 249-30- 51. </w:t>
      </w:r>
    </w:p>
    <w:p w14:paraId="4F7F690A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  <w:r w:rsidRPr="003E5131">
        <w:rPr>
          <w:color w:val="auto"/>
          <w:szCs w:val="24"/>
        </w:rPr>
        <w:t>Начальная цена – 149 770 руб. (НДС не облагается), задаток 22 465,50 руб., шаг аукциона 1 497,70 руб.</w:t>
      </w:r>
    </w:p>
    <w:p w14:paraId="56CC8F48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</w:p>
    <w:p w14:paraId="00A19E91" w14:textId="527F3173" w:rsidR="003E5131" w:rsidRPr="00286A87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11</w:t>
      </w:r>
      <w:r w:rsidRPr="00286A87">
        <w:rPr>
          <w:b/>
          <w:color w:val="auto"/>
          <w:szCs w:val="24"/>
        </w:rPr>
        <w:t xml:space="preserve"> (вторичные торги). </w:t>
      </w:r>
      <w:r w:rsidRPr="00286A87">
        <w:rPr>
          <w:color w:val="auto"/>
          <w:szCs w:val="24"/>
        </w:rPr>
        <w:t xml:space="preserve">Доля в праве 1/1082 в общей долевой собственности на земельный участок из земель сельскохозяйственного назначения, для сельскохозяйственного производства с кадастровым номером 56:02:0000000:216, общей площадью 317459988 кв.м., местоположение: Оренбургская область, северо-восточная часть Адамовского кадастрового района и находится в кварталах 52:02:03 09 001; 52:02:03 09 002; 52:02:03 09 003; 52:02:03 09 004; 52:02:03 09 005; 56:02:03 10 001; 56:02:03 10 002; 56:02:03 10 003. Имеется ограничение (обременение) права: арест, аренда до 01.11.2031г. Собственники (правообладатели): </w:t>
      </w:r>
      <w:r w:rsidRPr="00286A87">
        <w:rPr>
          <w:b/>
          <w:bCs/>
          <w:color w:val="auto"/>
          <w:szCs w:val="24"/>
        </w:rPr>
        <w:t xml:space="preserve">Баярстанова Г.М. </w:t>
      </w:r>
      <w:r w:rsidRPr="00286A87">
        <w:rPr>
          <w:color w:val="auto"/>
          <w:szCs w:val="24"/>
        </w:rPr>
        <w:t xml:space="preserve">Судебный пристав-исполнитель Адамовского РОСП Гнездовская Т.А. +7 (3532) 34-19-57. </w:t>
      </w:r>
    </w:p>
    <w:p w14:paraId="534CD93F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color w:val="auto"/>
          <w:szCs w:val="24"/>
        </w:rPr>
        <w:t>Начальная цена – 64 090 руб. (НДС не облагается), задаток 9 613,50 руб., шаг аукциона 640,90 руб.</w:t>
      </w:r>
    </w:p>
    <w:p w14:paraId="4637250C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</w:p>
    <w:p w14:paraId="4C951686" w14:textId="163A5B1E" w:rsidR="003E5131" w:rsidRPr="00286A87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12</w:t>
      </w:r>
      <w:r w:rsidRPr="00286A87">
        <w:rPr>
          <w:b/>
          <w:color w:val="auto"/>
          <w:szCs w:val="24"/>
        </w:rPr>
        <w:t xml:space="preserve"> (вторичные торги).</w:t>
      </w:r>
      <w:r w:rsidRPr="00286A87">
        <w:rPr>
          <w:color w:val="auto"/>
          <w:szCs w:val="24"/>
        </w:rPr>
        <w:t xml:space="preserve"> Доля в праве 1/1035 в общей долевой собственности на земельный участок из земель сельскохозяйственного назначения, для сельскохозяйственного производства с кадастровым номером 56:02:0000000:206, общей площадью 536927916 кв.м., местоположение: Оренбургская область, центральная часть Адамовского кадастрового района, земельные доли ордена Ленина СПК «Комсомольский». Имеется ограничение (обременение) права: ст.</w:t>
      </w:r>
      <w:r w:rsidR="002E6E5A">
        <w:rPr>
          <w:color w:val="auto"/>
          <w:szCs w:val="24"/>
        </w:rPr>
        <w:t xml:space="preserve"> </w:t>
      </w:r>
      <w:r w:rsidRPr="00286A87">
        <w:rPr>
          <w:color w:val="auto"/>
          <w:szCs w:val="24"/>
        </w:rPr>
        <w:t xml:space="preserve">56 Земельного кодекса РФ, арест, аренда. Собственники (правообладатели): </w:t>
      </w:r>
      <w:r w:rsidRPr="00286A87">
        <w:rPr>
          <w:b/>
          <w:bCs/>
          <w:color w:val="auto"/>
          <w:szCs w:val="24"/>
        </w:rPr>
        <w:t xml:space="preserve">Горячев П.Е. </w:t>
      </w:r>
      <w:r w:rsidRPr="00286A87">
        <w:rPr>
          <w:color w:val="auto"/>
          <w:szCs w:val="24"/>
        </w:rPr>
        <w:t xml:space="preserve">Судебный пристав-исполнитель Адамовского РОСП Гнездовская Т.А. +7 (3532) 34-19-57. </w:t>
      </w:r>
    </w:p>
    <w:p w14:paraId="0E8DF25E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color w:val="auto"/>
          <w:szCs w:val="24"/>
        </w:rPr>
        <w:t>Начальная цена – 88 230 руб. (НДС не облагается), задаток 13 234,50 руб., шаг аукциона 882,30 руб.</w:t>
      </w:r>
    </w:p>
    <w:p w14:paraId="7697B1E6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</w:p>
    <w:p w14:paraId="3490B5C6" w14:textId="33829025" w:rsidR="003E5131" w:rsidRPr="00286A87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13</w:t>
      </w:r>
      <w:r w:rsidRPr="00286A87">
        <w:rPr>
          <w:b/>
          <w:color w:val="auto"/>
          <w:szCs w:val="24"/>
        </w:rPr>
        <w:t xml:space="preserve"> (вторичные торги).</w:t>
      </w:r>
      <w:r w:rsidRPr="00286A87">
        <w:rPr>
          <w:color w:val="auto"/>
          <w:szCs w:val="24"/>
        </w:rPr>
        <w:t xml:space="preserve"> Доля в праве 1/1035 в общей долевой собственности на земельный участок из земель сельскохозяйственного назначения, для сельскохозяйственного производства с кадастровым номером 56:02:0000000:206, общей площадью 536927916 кв.м., местоположение: Оренбургская область, центральная часть Адамовского кадастрового района, земельные доли ордена Ленина СПК «Комсомольский». Имеется ограничение (обременение) права: ст.</w:t>
      </w:r>
      <w:r w:rsidR="002E6E5A">
        <w:rPr>
          <w:color w:val="auto"/>
          <w:szCs w:val="24"/>
        </w:rPr>
        <w:t xml:space="preserve"> </w:t>
      </w:r>
      <w:r w:rsidRPr="00286A87">
        <w:rPr>
          <w:color w:val="auto"/>
          <w:szCs w:val="24"/>
        </w:rPr>
        <w:t xml:space="preserve">56 Земельного кодекса РФ, арест, аренда. Собственники (правообладатели): </w:t>
      </w:r>
      <w:r w:rsidRPr="00286A87">
        <w:rPr>
          <w:b/>
          <w:bCs/>
          <w:color w:val="auto"/>
          <w:szCs w:val="24"/>
        </w:rPr>
        <w:t xml:space="preserve">Горячева В.В. </w:t>
      </w:r>
      <w:r w:rsidRPr="00286A87">
        <w:rPr>
          <w:color w:val="auto"/>
          <w:szCs w:val="24"/>
        </w:rPr>
        <w:t xml:space="preserve">Судебный пристав-исполнитель Адамовского РОСП Гнездовская Т.А. +7 (3532) 34-19-57. </w:t>
      </w:r>
    </w:p>
    <w:p w14:paraId="2E9A3217" w14:textId="77777777" w:rsidR="003E5131" w:rsidRPr="00286A87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color w:val="auto"/>
          <w:szCs w:val="24"/>
        </w:rPr>
        <w:t>Начальная цена – 88 230 руб. (НДС не облагается), задаток 13 234,50 руб., шаг аукциона 882,30 руб.</w:t>
      </w:r>
    </w:p>
    <w:p w14:paraId="6C8068EE" w14:textId="77777777" w:rsidR="003E5131" w:rsidRPr="003562E5" w:rsidRDefault="003E5131" w:rsidP="003E5131">
      <w:pPr>
        <w:ind w:firstLine="709"/>
        <w:jc w:val="both"/>
        <w:rPr>
          <w:color w:val="auto"/>
          <w:szCs w:val="24"/>
          <w:highlight w:val="yellow"/>
        </w:rPr>
      </w:pPr>
    </w:p>
    <w:p w14:paraId="154664BB" w14:textId="738ACCF6" w:rsidR="003E5131" w:rsidRPr="00286A87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14</w:t>
      </w:r>
      <w:r w:rsidRPr="00286A87">
        <w:rPr>
          <w:b/>
          <w:color w:val="auto"/>
          <w:szCs w:val="24"/>
        </w:rPr>
        <w:t xml:space="preserve"> (вторичные торги). </w:t>
      </w:r>
      <w:r w:rsidRPr="00286A87">
        <w:rPr>
          <w:color w:val="auto"/>
          <w:szCs w:val="24"/>
        </w:rPr>
        <w:t xml:space="preserve">Доля в праве 3/65 га в общей долевой собственности на земельный участок из земель сельскохозяйственного назначения, для сельскохозяйственного производства с кадастровым номером 56:21:0000000:31, общей площадью 29728636 кв.м., местоположение: Оренбургская область, Оренбургский р-н, с/с Ивановский, колхоз «Урал». Имеется ограничение (обременение) права: арест. Собственники (правообладатели): </w:t>
      </w:r>
      <w:r w:rsidRPr="00286A87">
        <w:rPr>
          <w:b/>
          <w:bCs/>
          <w:color w:val="auto"/>
          <w:szCs w:val="24"/>
        </w:rPr>
        <w:t xml:space="preserve">Зимин Р.А. </w:t>
      </w:r>
      <w:r w:rsidRPr="00286A87">
        <w:rPr>
          <w:color w:val="auto"/>
          <w:szCs w:val="24"/>
        </w:rPr>
        <w:t xml:space="preserve">Судебный пристав-исполнитель Оренбургского РОСП Сайтбурханова Г.В. +7 (3532) 34-19-57. </w:t>
      </w:r>
    </w:p>
    <w:p w14:paraId="48930D8F" w14:textId="34B09D73" w:rsidR="003E5131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color w:val="auto"/>
          <w:szCs w:val="24"/>
        </w:rPr>
        <w:t>Начальная цена – 31 960 руб. (НДС не облагается), задаток 4 794 руб., шаг аукциона 319,60 руб.</w:t>
      </w:r>
    </w:p>
    <w:p w14:paraId="4EFB8524" w14:textId="0529959E" w:rsidR="003E5131" w:rsidRPr="00286A87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b/>
          <w:color w:val="auto"/>
          <w:szCs w:val="24"/>
        </w:rPr>
        <w:t xml:space="preserve">Лот № </w:t>
      </w:r>
      <w:r w:rsidR="0069706D">
        <w:rPr>
          <w:b/>
          <w:color w:val="auto"/>
          <w:szCs w:val="24"/>
        </w:rPr>
        <w:t>15</w:t>
      </w:r>
      <w:r w:rsidRPr="00286A87">
        <w:rPr>
          <w:b/>
          <w:color w:val="auto"/>
          <w:szCs w:val="24"/>
        </w:rPr>
        <w:t xml:space="preserve"> (вторичные торги). </w:t>
      </w:r>
      <w:r w:rsidRPr="00286A87">
        <w:rPr>
          <w:color w:val="auto"/>
          <w:szCs w:val="24"/>
        </w:rPr>
        <w:t>Доля в праве 1/57 в общей долевой собственности на земельный участок из земель сельскохозяйственного назначения, для сельскохозяйственного производства с кадастровым номером 56:02:0000000:2014, общей площадью 7980000 кв.м., местоположение: Оренбургская область, Адамовский р-н, земельный участок расположен в центральной части кадастрового квартала 56:02:0000000. Имеется ограничение (обременение) права: ст.</w:t>
      </w:r>
      <w:r w:rsidR="000F383C">
        <w:rPr>
          <w:color w:val="auto"/>
          <w:szCs w:val="24"/>
        </w:rPr>
        <w:t xml:space="preserve"> </w:t>
      </w:r>
      <w:r w:rsidRPr="00286A87">
        <w:rPr>
          <w:color w:val="auto"/>
          <w:szCs w:val="24"/>
        </w:rPr>
        <w:t xml:space="preserve">56 Земельного кодекса РФ, арест, аренда. Собственники (правообладатели): </w:t>
      </w:r>
      <w:r w:rsidRPr="00286A87">
        <w:rPr>
          <w:b/>
          <w:bCs/>
          <w:color w:val="auto"/>
          <w:szCs w:val="24"/>
        </w:rPr>
        <w:t>Ибрагимова З.Г.</w:t>
      </w:r>
      <w:r w:rsidRPr="00286A87">
        <w:rPr>
          <w:color w:val="auto"/>
          <w:szCs w:val="24"/>
        </w:rPr>
        <w:t xml:space="preserve"> Судебный пристав-исполнитель Адамовского РОСП Смирных Н.О. +7 (3532) 34-19-57. </w:t>
      </w:r>
    </w:p>
    <w:p w14:paraId="222FA832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  <w:r w:rsidRPr="00286A87">
        <w:rPr>
          <w:color w:val="auto"/>
          <w:szCs w:val="24"/>
        </w:rPr>
        <w:t>Начальная цена – 35 700 руб. (НДС не облагается), задаток 5 355 руб., шаг аукциона 357 руб.</w:t>
      </w:r>
    </w:p>
    <w:p w14:paraId="4C7C068F" w14:textId="77777777" w:rsidR="003E5131" w:rsidRPr="003562E5" w:rsidRDefault="003E5131" w:rsidP="003E5131">
      <w:pPr>
        <w:ind w:firstLine="709"/>
        <w:jc w:val="both"/>
        <w:rPr>
          <w:color w:val="auto"/>
          <w:szCs w:val="24"/>
          <w:highlight w:val="yellow"/>
        </w:rPr>
      </w:pPr>
    </w:p>
    <w:p w14:paraId="024B8F44" w14:textId="1C46CC2E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  <w:r w:rsidRPr="000F383C">
        <w:rPr>
          <w:b/>
          <w:color w:val="auto"/>
          <w:szCs w:val="24"/>
        </w:rPr>
        <w:t xml:space="preserve">Лот № </w:t>
      </w:r>
      <w:r w:rsidR="002E6E5A" w:rsidRPr="000F383C">
        <w:rPr>
          <w:b/>
          <w:color w:val="auto"/>
          <w:szCs w:val="24"/>
        </w:rPr>
        <w:t>16</w:t>
      </w:r>
      <w:r w:rsidRPr="000F383C">
        <w:rPr>
          <w:b/>
          <w:color w:val="auto"/>
          <w:szCs w:val="24"/>
        </w:rPr>
        <w:t xml:space="preserve"> (вторичные торги).</w:t>
      </w:r>
      <w:r w:rsidRPr="000F383C">
        <w:rPr>
          <w:color w:val="auto"/>
          <w:szCs w:val="24"/>
        </w:rPr>
        <w:t xml:space="preserve"> Доля в праве 1/114 доли в праве собственности на земельный участок; площадь: 2519000 кв.м., кад ном 56:04:0522011:7; адрес Оренбургская область, Александровский район, Ждановский сельсовет, земельный участок расположен в центральной части кадастрового квартала 56:04:0522011, категория земель: земли сельскохозяйственного назначения, вид разрешенного использования: для производства продукции растениеводства. Для иных видов сельскохозяйственного использования. Имеется ограничение (обременение) права: арест, аренда. Собственники (правообладатели): </w:t>
      </w:r>
      <w:r w:rsidRPr="000F383C">
        <w:rPr>
          <w:b/>
          <w:bCs/>
          <w:color w:val="auto"/>
          <w:szCs w:val="24"/>
        </w:rPr>
        <w:t xml:space="preserve">Клетушкина Л.П. </w:t>
      </w:r>
      <w:r w:rsidRPr="000F383C">
        <w:rPr>
          <w:color w:val="auto"/>
          <w:szCs w:val="24"/>
        </w:rPr>
        <w:t xml:space="preserve">Судебный пристав- исполнитель ОСП Ленинского района г.Оренбурга Телембаева Д.Т. +7 (3532) 34-19-57. </w:t>
      </w:r>
    </w:p>
    <w:p w14:paraId="27C3C3A0" w14:textId="77777777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  <w:r w:rsidRPr="000F383C">
        <w:rPr>
          <w:color w:val="auto"/>
          <w:szCs w:val="24"/>
        </w:rPr>
        <w:t>Начальная цена – 68 765 руб. (НДС не облагается), задаток 10 314,75 руб., шаг аукциона 687,65 руб.</w:t>
      </w:r>
    </w:p>
    <w:p w14:paraId="1C349324" w14:textId="77777777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</w:p>
    <w:p w14:paraId="27FD9788" w14:textId="5DA07D25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  <w:r w:rsidRPr="000F383C">
        <w:rPr>
          <w:b/>
          <w:color w:val="auto"/>
          <w:szCs w:val="24"/>
        </w:rPr>
        <w:t xml:space="preserve">Лот № </w:t>
      </w:r>
      <w:r w:rsidR="002E6E5A" w:rsidRPr="000F383C">
        <w:rPr>
          <w:b/>
          <w:color w:val="auto"/>
          <w:szCs w:val="24"/>
        </w:rPr>
        <w:t>17</w:t>
      </w:r>
      <w:r w:rsidRPr="000F383C">
        <w:rPr>
          <w:b/>
          <w:color w:val="auto"/>
          <w:szCs w:val="24"/>
        </w:rPr>
        <w:t xml:space="preserve"> (вторичные торги).</w:t>
      </w:r>
      <w:r w:rsidRPr="000F383C">
        <w:rPr>
          <w:color w:val="auto"/>
          <w:szCs w:val="24"/>
        </w:rPr>
        <w:t xml:space="preserve"> Доля в праве 1/114 доли в праве собственности на земельный участок; площадь: 913000 кв.м., кад ном 56:04:0520007:20; адрес Оренбургская область, Александровский район, Ждановский сельсовет, земельный участок расположен в центральной части кадастрового квартала 56:04:05200007, категория земель: земли сельскохозяйственного назначения, вид разрешенного использования: для производства продукции растениеводства. Для иных видов сельск</w:t>
      </w:r>
      <w:r w:rsidR="000F383C">
        <w:rPr>
          <w:color w:val="auto"/>
          <w:szCs w:val="24"/>
        </w:rPr>
        <w:t>охозяйственного использования.</w:t>
      </w:r>
      <w:r w:rsidRPr="000F383C">
        <w:rPr>
          <w:color w:val="auto"/>
          <w:szCs w:val="24"/>
        </w:rPr>
        <w:t xml:space="preserve"> Имеется ограничение (обременение) права: арест, аренда. Собственники (правообладатели): </w:t>
      </w:r>
      <w:r w:rsidRPr="000F383C">
        <w:rPr>
          <w:b/>
          <w:bCs/>
          <w:color w:val="auto"/>
          <w:szCs w:val="24"/>
        </w:rPr>
        <w:t xml:space="preserve">Клетушкина Л.П. </w:t>
      </w:r>
      <w:r w:rsidRPr="000F383C">
        <w:rPr>
          <w:color w:val="auto"/>
          <w:szCs w:val="24"/>
        </w:rPr>
        <w:t xml:space="preserve">Судебный пристав- исполнитель ОСП Ленинского района г.Оренбурга Телембаева Д.Т. +7 (3532) 34-19-57. </w:t>
      </w:r>
    </w:p>
    <w:p w14:paraId="46AB12E0" w14:textId="77777777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  <w:r w:rsidRPr="000F383C">
        <w:rPr>
          <w:color w:val="auto"/>
          <w:szCs w:val="24"/>
        </w:rPr>
        <w:t>Начальная цена – 26 945 руб. (НДС не облагается), задаток 4 041,75 руб., шаг аукциона 269,45 руб.</w:t>
      </w:r>
    </w:p>
    <w:p w14:paraId="2BFFE661" w14:textId="77777777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</w:p>
    <w:p w14:paraId="1335EA43" w14:textId="14B9D375" w:rsidR="003E5131" w:rsidRPr="000F383C" w:rsidRDefault="003E5131" w:rsidP="003E5131">
      <w:pPr>
        <w:ind w:firstLine="709"/>
        <w:jc w:val="both"/>
        <w:rPr>
          <w:color w:val="auto"/>
          <w:szCs w:val="24"/>
        </w:rPr>
      </w:pPr>
      <w:r w:rsidRPr="000F383C">
        <w:rPr>
          <w:b/>
          <w:color w:val="auto"/>
          <w:szCs w:val="24"/>
        </w:rPr>
        <w:t xml:space="preserve">Лот № </w:t>
      </w:r>
      <w:r w:rsidR="002E6E5A" w:rsidRPr="000F383C">
        <w:rPr>
          <w:b/>
          <w:color w:val="auto"/>
          <w:szCs w:val="24"/>
        </w:rPr>
        <w:t>18</w:t>
      </w:r>
      <w:r w:rsidRPr="000F383C">
        <w:rPr>
          <w:b/>
          <w:color w:val="auto"/>
          <w:szCs w:val="24"/>
        </w:rPr>
        <w:t xml:space="preserve"> (вторичные торги).</w:t>
      </w:r>
      <w:r w:rsidRPr="000F383C">
        <w:rPr>
          <w:color w:val="auto"/>
          <w:szCs w:val="24"/>
        </w:rPr>
        <w:t xml:space="preserve"> Доля в праве 1/114 доли в праве собственности на земельный участок; 1/114 доли в праве собственности на земельный участок: 154000 кв.м., кад ном 56:04:0520007:19; адрес Оренбургская область, Александровский район, Ждановский сельсовет, земельный участок расположен в юго-западной части кадастрового квартала 56:04:0520007, категория земель: земли сельскохозяйственного назначения, вид разрешенного использования: для производства продукции растениеводства. Для иных видов сельскохозяйственного использования</w:t>
      </w:r>
      <w:r w:rsidRPr="000F383C">
        <w:rPr>
          <w:b/>
          <w:bCs/>
          <w:color w:val="auto"/>
          <w:szCs w:val="24"/>
        </w:rPr>
        <w:t xml:space="preserve">. </w:t>
      </w:r>
      <w:r w:rsidRPr="000F383C">
        <w:rPr>
          <w:color w:val="auto"/>
          <w:szCs w:val="24"/>
        </w:rPr>
        <w:t xml:space="preserve">Имеется ограничение (обременение) права: арест, аренда. Собственники (правообладатели): </w:t>
      </w:r>
      <w:r w:rsidRPr="000F383C">
        <w:rPr>
          <w:b/>
          <w:bCs/>
          <w:color w:val="auto"/>
          <w:szCs w:val="24"/>
        </w:rPr>
        <w:t xml:space="preserve">Клетушкина Л.П. </w:t>
      </w:r>
      <w:r w:rsidRPr="000F383C">
        <w:rPr>
          <w:color w:val="auto"/>
          <w:szCs w:val="24"/>
        </w:rPr>
        <w:t xml:space="preserve">Судебный пристав- исполнитель ОСП Ленинского района г.Оренбурга Телембаева Д.Т. +7 (3532) 34-19-57. </w:t>
      </w:r>
    </w:p>
    <w:p w14:paraId="1668C9B5" w14:textId="77777777" w:rsidR="003E5131" w:rsidRPr="00174303" w:rsidRDefault="003E5131" w:rsidP="003E5131">
      <w:pPr>
        <w:ind w:firstLine="709"/>
        <w:jc w:val="both"/>
        <w:rPr>
          <w:color w:val="auto"/>
          <w:szCs w:val="24"/>
        </w:rPr>
      </w:pPr>
      <w:r w:rsidRPr="000F383C">
        <w:rPr>
          <w:color w:val="auto"/>
          <w:szCs w:val="24"/>
        </w:rPr>
        <w:t>Начальная цена – 5 270 руб. (НДС не облагается), задаток 790,50 руб., шаг аукциона 52,70 руб.</w:t>
      </w:r>
    </w:p>
    <w:p w14:paraId="08A6CE78" w14:textId="77777777" w:rsidR="003E5131" w:rsidRPr="003562E5" w:rsidRDefault="003E5131" w:rsidP="003E5131">
      <w:pPr>
        <w:ind w:firstLine="709"/>
        <w:jc w:val="both"/>
        <w:rPr>
          <w:color w:val="auto"/>
          <w:szCs w:val="24"/>
          <w:highlight w:val="yellow"/>
        </w:rPr>
      </w:pPr>
    </w:p>
    <w:p w14:paraId="6CFCF8DF" w14:textId="1A419339" w:rsidR="00420B54" w:rsidRDefault="00420B54" w:rsidP="000F383C">
      <w:pPr>
        <w:jc w:val="both"/>
        <w:rPr>
          <w:b/>
          <w:bCs/>
          <w:color w:val="auto"/>
          <w:szCs w:val="24"/>
        </w:rPr>
      </w:pPr>
    </w:p>
    <w:p w14:paraId="4C5095C4" w14:textId="77777777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 xml:space="preserve">Положения Федерального закона от 02.10.2007 № 229-ФЗ «Об исполнительном производстве» могут применяться к регулированию земельных отношений только в том случае, если эти отношения не урегулированы земельным или специальным федеральным законом. </w:t>
      </w:r>
    </w:p>
    <w:p w14:paraId="4A8E4C8E" w14:textId="3E440E79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Оборот земель сельскохозяйственного назначения регулируется Законом № 101-ФЗ (пункт 6 статьи 27 ЗК РФ)</w:t>
      </w:r>
      <w:r>
        <w:rPr>
          <w:sz w:val="26"/>
          <w:szCs w:val="26"/>
          <w:lang w:bidi="ru-RU"/>
        </w:rPr>
        <w:t>.</w:t>
      </w:r>
    </w:p>
    <w:p w14:paraId="501BC0F2" w14:textId="77777777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Указанный Закон №101-ФЗ закрепил основной принцип, на котором основывается оборот земель сельскохозяйственного назначения – сохранение целевого использования земельных участков (подпункт 1 пункта 3 статьи 1), что обусловлено особым назначением таких земель, необходимостью обеспечить стабильность и определенность использования и оборота земельных участков из земель сельскохозяйственного назначения и долей в праве общей собственности на них, направленных на создание условий для перехода земельных участков к эффективно хозяйствующим субъектам.</w:t>
      </w:r>
    </w:p>
    <w:p w14:paraId="53C5EA31" w14:textId="77777777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Учитывая специфику земельных и имущественных отношений, Закон № 101-ФЗ обеспечивает баланс интересов участников долевой собственности и устанавливает прямой запрет на продажу постороннему лицу доли в праве собственности на земельный участок сельскохозяйственного назначения, находящегося в собственности шести и более лиц, и определяет круг лиц, с которыми могут быть совершены указанные в абзаце втором пункта 1 статьи 12 Закона №101-ФЗ сделки, относя к ним лишь участников долевой собственности, сельскохозяйственные организации или гражданин - членов крестьянского (фермерского) хозяйства, использующих земельный участок, находящийся в долевой собственности.</w:t>
      </w:r>
    </w:p>
    <w:p w14:paraId="6AB63151" w14:textId="418B62B4" w:rsidR="003E5131" w:rsidRPr="00D90FF4" w:rsidRDefault="003E5131" w:rsidP="003E5131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D90FF4">
        <w:rPr>
          <w:sz w:val="26"/>
          <w:szCs w:val="26"/>
          <w:lang w:bidi="ru-RU"/>
        </w:rPr>
        <w:t>Таким образом, в ходе процедуры реализации имущества должник</w:t>
      </w:r>
      <w:r>
        <w:rPr>
          <w:sz w:val="26"/>
          <w:szCs w:val="26"/>
          <w:lang w:bidi="ru-RU"/>
        </w:rPr>
        <w:t xml:space="preserve">ов </w:t>
      </w:r>
      <w:r w:rsidRPr="00D90FF4">
        <w:rPr>
          <w:sz w:val="26"/>
          <w:szCs w:val="26"/>
          <w:lang w:bidi="ru-RU"/>
        </w:rPr>
        <w:t>принадлежащ</w:t>
      </w:r>
      <w:r>
        <w:rPr>
          <w:sz w:val="26"/>
          <w:szCs w:val="26"/>
          <w:lang w:bidi="ru-RU"/>
        </w:rPr>
        <w:t>ая</w:t>
      </w:r>
      <w:r w:rsidRPr="00D90FF4">
        <w:rPr>
          <w:sz w:val="26"/>
          <w:szCs w:val="26"/>
          <w:lang w:bidi="ru-RU"/>
        </w:rPr>
        <w:t xml:space="preserve"> </w:t>
      </w:r>
      <w:r w:rsidR="00616388">
        <w:rPr>
          <w:sz w:val="26"/>
          <w:szCs w:val="26"/>
          <w:lang w:bidi="ru-RU"/>
        </w:rPr>
        <w:t>им</w:t>
      </w:r>
      <w:r w:rsidRPr="00D90FF4">
        <w:rPr>
          <w:sz w:val="26"/>
          <w:szCs w:val="26"/>
          <w:lang w:bidi="ru-RU"/>
        </w:rPr>
        <w:t xml:space="preserve"> земельн</w:t>
      </w:r>
      <w:r>
        <w:rPr>
          <w:sz w:val="26"/>
          <w:szCs w:val="26"/>
          <w:lang w:bidi="ru-RU"/>
        </w:rPr>
        <w:t>ая</w:t>
      </w:r>
      <w:r w:rsidRPr="00D90FF4">
        <w:rPr>
          <w:sz w:val="26"/>
          <w:szCs w:val="26"/>
          <w:lang w:bidi="ru-RU"/>
        </w:rPr>
        <w:t xml:space="preserve"> дол</w:t>
      </w:r>
      <w:r>
        <w:rPr>
          <w:sz w:val="26"/>
          <w:szCs w:val="26"/>
          <w:lang w:bidi="ru-RU"/>
        </w:rPr>
        <w:t>я</w:t>
      </w:r>
      <w:r w:rsidRPr="00D90FF4">
        <w:rPr>
          <w:sz w:val="26"/>
          <w:szCs w:val="26"/>
          <w:lang w:bidi="ru-RU"/>
        </w:rPr>
        <w:t xml:space="preserve"> мо</w:t>
      </w:r>
      <w:r>
        <w:rPr>
          <w:sz w:val="26"/>
          <w:szCs w:val="26"/>
          <w:lang w:bidi="ru-RU"/>
        </w:rPr>
        <w:t>жет</w:t>
      </w:r>
      <w:r w:rsidRPr="00D90FF4">
        <w:rPr>
          <w:sz w:val="26"/>
          <w:szCs w:val="26"/>
          <w:lang w:bidi="ru-RU"/>
        </w:rPr>
        <w:t xml:space="preserve"> быть продан</w:t>
      </w:r>
      <w:r>
        <w:rPr>
          <w:sz w:val="26"/>
          <w:szCs w:val="26"/>
          <w:lang w:bidi="ru-RU"/>
        </w:rPr>
        <w:t>а</w:t>
      </w:r>
      <w:r w:rsidRPr="00D90FF4">
        <w:rPr>
          <w:sz w:val="26"/>
          <w:szCs w:val="26"/>
          <w:lang w:bidi="ru-RU"/>
        </w:rPr>
        <w:t xml:space="preserve"> только лицам, которые имеют право на приобретение такого вида имущества, в частности являющимся участниками долевой собственности или арендаторами земельного участка. </w:t>
      </w:r>
    </w:p>
    <w:p w14:paraId="60B9A089" w14:textId="77777777" w:rsidR="003E5131" w:rsidRPr="003E5131" w:rsidRDefault="003E5131" w:rsidP="00420B54">
      <w:pPr>
        <w:ind w:firstLine="709"/>
        <w:jc w:val="both"/>
        <w:rPr>
          <w:b/>
          <w:bCs/>
          <w:color w:val="auto"/>
          <w:szCs w:val="24"/>
        </w:rPr>
      </w:pPr>
    </w:p>
    <w:p w14:paraId="70919A67" w14:textId="77777777" w:rsidR="00420B54" w:rsidRPr="0042248B" w:rsidRDefault="00420B54" w:rsidP="00D36EB4">
      <w:pPr>
        <w:jc w:val="both"/>
        <w:rPr>
          <w:color w:val="auto"/>
          <w:szCs w:val="24"/>
        </w:rPr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0"/>
      <w:bookmarkEnd w:id="10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1" w:name="bookmark11"/>
      <w:bookmarkEnd w:id="11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2" w:name="bookmark12"/>
      <w:bookmarkEnd w:id="12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3" w:name="bookmark13"/>
      <w:bookmarkEnd w:id="13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4" w:name="bookmark14"/>
      <w:bookmarkEnd w:id="14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5" w:name="bookmark15"/>
      <w:bookmarkEnd w:id="15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6" w:name="bookmark16"/>
      <w:bookmarkEnd w:id="16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7" w:name="bookmark17"/>
      <w:bookmarkEnd w:id="17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8" w:name="bookmark18"/>
      <w:bookmarkEnd w:id="1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9" w:name="bookmark19"/>
      <w:bookmarkEnd w:id="19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20" w:name="bookmark20"/>
      <w:bookmarkEnd w:id="20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1" w:name="bookmark21"/>
      <w:bookmarkEnd w:id="21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1B567819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5F4A0F5A" w14:textId="46ED5CF9" w:rsidR="00616388" w:rsidRPr="00616388" w:rsidRDefault="00616388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b/>
          <w:bCs/>
          <w:sz w:val="24"/>
          <w:szCs w:val="24"/>
        </w:rPr>
      </w:pPr>
      <w:r w:rsidRPr="00616388">
        <w:rPr>
          <w:b/>
          <w:bCs/>
          <w:sz w:val="24"/>
          <w:szCs w:val="24"/>
        </w:rPr>
        <w:t>документ, подтверждающие наличие прав на приобретение на земельный участок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2" w:name="bookmark22"/>
      <w:bookmarkEnd w:id="22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3" w:name="bookmark23"/>
      <w:bookmarkEnd w:id="23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4" w:name="bookmark24"/>
      <w:bookmarkEnd w:id="24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5"/>
      <w:bookmarkEnd w:id="25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6" w:name="bookmark26"/>
      <w:bookmarkEnd w:id="26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7" w:name="bookmark27"/>
      <w:bookmarkEnd w:id="27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381B3DDB" w14:textId="77777777" w:rsidR="00616388" w:rsidRDefault="00295663" w:rsidP="00616388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49776DD" w14:textId="41CB8788" w:rsidR="00295663" w:rsidRPr="00616388" w:rsidRDefault="00616388" w:rsidP="00616388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b/>
          <w:bCs/>
          <w:sz w:val="24"/>
          <w:szCs w:val="24"/>
        </w:rPr>
      </w:pPr>
      <w:r w:rsidRPr="00616388">
        <w:rPr>
          <w:b/>
          <w:bCs/>
          <w:sz w:val="24"/>
          <w:szCs w:val="24"/>
        </w:rPr>
        <w:t>документ, подтверждающие наличие прав на приобретение на земельный участок</w:t>
      </w:r>
      <w:r w:rsidR="00295663" w:rsidRPr="00616388">
        <w:rPr>
          <w:b/>
          <w:bCs/>
          <w:sz w:val="24"/>
          <w:szCs w:val="24"/>
        </w:rPr>
        <w:t>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9" w:name="bookmark29"/>
      <w:bookmarkEnd w:id="29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0" w:name="bookmark30"/>
      <w:bookmarkEnd w:id="30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1" w:name="bookmark31"/>
      <w:bookmarkEnd w:id="31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2" w:name="bookmark32"/>
      <w:bookmarkEnd w:id="32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3"/>
      <w:bookmarkEnd w:id="33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4" w:name="bookmark34"/>
      <w:bookmarkEnd w:id="34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5" w:name="bookmark35"/>
      <w:bookmarkEnd w:id="35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6" w:name="bookmark36"/>
      <w:bookmarkEnd w:id="3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7" w:name="bookmark37"/>
      <w:bookmarkEnd w:id="37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8" w:name="bookmark38"/>
      <w:bookmarkEnd w:id="38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0001FA62" w14:textId="77777777" w:rsidR="00616388" w:rsidRDefault="00295663" w:rsidP="00616388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</w:t>
      </w:r>
    </w:p>
    <w:p w14:paraId="27768DD0" w14:textId="18CB74E1" w:rsidR="00295663" w:rsidRPr="00616388" w:rsidRDefault="00616388" w:rsidP="00616388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16388">
        <w:rPr>
          <w:b/>
          <w:bCs/>
          <w:sz w:val="24"/>
          <w:szCs w:val="24"/>
        </w:rPr>
        <w:t>документ, подтверждающие наличие прав на приобретение на земельный участок</w:t>
      </w:r>
      <w:r w:rsidR="00295663" w:rsidRPr="00616388">
        <w:rPr>
          <w:b/>
          <w:bCs/>
          <w:sz w:val="24"/>
          <w:szCs w:val="24"/>
        </w:rPr>
        <w:t>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9" w:name="bookmark39"/>
      <w:bookmarkEnd w:id="39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40" w:name="bookmark40"/>
      <w:bookmarkEnd w:id="40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1" w:name="bookmark41"/>
      <w:bookmarkEnd w:id="41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2" w:name="bookmark42"/>
      <w:bookmarkEnd w:id="42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3" w:name="bookmark43"/>
      <w:bookmarkEnd w:id="43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4" w:name="bookmark44"/>
      <w:bookmarkEnd w:id="44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5" w:name="bookmark45"/>
      <w:bookmarkEnd w:id="45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6" w:name="bookmark46"/>
      <w:bookmarkEnd w:id="46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7" w:name="bookmark47"/>
      <w:bookmarkEnd w:id="47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8"/>
      <w:bookmarkEnd w:id="48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9" w:name="bookmark49"/>
      <w:bookmarkEnd w:id="49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50" w:name="bookmark50"/>
      <w:bookmarkEnd w:id="50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1" w:name="bookmark51"/>
      <w:r w:rsidRPr="0042248B">
        <w:rPr>
          <w:sz w:val="24"/>
          <w:szCs w:val="24"/>
        </w:rPr>
        <w:t>а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2" w:name="bookmark52"/>
      <w:r w:rsidRPr="0042248B">
        <w:rPr>
          <w:sz w:val="24"/>
          <w:szCs w:val="24"/>
        </w:rPr>
        <w:t>б</w:t>
      </w:r>
      <w:bookmarkEnd w:id="52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3"/>
      <w:bookmarkEnd w:id="53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4" w:name="bookmark54"/>
      <w:bookmarkEnd w:id="54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5"/>
      <w:bookmarkEnd w:id="55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6" w:name="bookmark56"/>
      <w:bookmarkEnd w:id="56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7" w:name="bookmark57"/>
      <w:bookmarkEnd w:id="57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8"/>
      <w:bookmarkEnd w:id="58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9" w:name="bookmark59"/>
      <w:bookmarkEnd w:id="59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0" w:name="bookmark60"/>
      <w:bookmarkEnd w:id="60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1" w:name="bookmark61"/>
      <w:bookmarkEnd w:id="61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2" w:name="bookmark62"/>
      <w:bookmarkEnd w:id="62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3" w:name="bookmark63"/>
      <w:bookmarkEnd w:id="63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4" w:name="bookmark64"/>
      <w:bookmarkEnd w:id="64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5" w:name="bookmark65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6" w:name="bookmark66"/>
      <w:bookmarkEnd w:id="66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7" w:name="bookmark67"/>
      <w:bookmarkEnd w:id="67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8" w:name="bookmark68"/>
      <w:bookmarkEnd w:id="68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9" w:name="bookmark69"/>
      <w:bookmarkEnd w:id="69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0"/>
      <w:bookmarkEnd w:id="70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1"/>
      <w:bookmarkEnd w:id="71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2"/>
      <w:bookmarkEnd w:id="72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3" w:name="bookmark73"/>
      <w:bookmarkEnd w:id="73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4" w:name="bookmark74"/>
      <w:bookmarkEnd w:id="74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5" w:name="bookmark75"/>
      <w:bookmarkEnd w:id="75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6"/>
      <w:bookmarkEnd w:id="76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7" w:name="bookmark77"/>
      <w:bookmarkEnd w:id="77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8" w:name="bookmark78"/>
      <w:bookmarkEnd w:id="78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9" w:name="bookmark79"/>
      <w:bookmarkEnd w:id="79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80" w:name="bookmark80"/>
      <w:bookmarkEnd w:id="80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1"/>
      <w:bookmarkEnd w:id="81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2" w:name="bookmark82"/>
      <w:bookmarkEnd w:id="82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3"/>
      <w:bookmarkEnd w:id="83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4" w:name="bookmark84"/>
      <w:bookmarkEnd w:id="84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5" w:name="bookmark85"/>
      <w:bookmarkEnd w:id="85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6" w:name="bookmark86"/>
      <w:bookmarkEnd w:id="86"/>
      <w:r w:rsidRPr="0042248B"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7" w:name="bookmark87"/>
      <w:bookmarkEnd w:id="87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8" w:name="bookmark88"/>
      <w:bookmarkEnd w:id="88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r w:rsidR="00C03449" w:rsidRPr="0042248B">
        <w:rPr>
          <w:sz w:val="24"/>
          <w:szCs w:val="24"/>
          <w:lang w:val="en-US"/>
        </w:rPr>
        <w:t>torgi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r w:rsidR="00C03449" w:rsidRPr="0042248B">
        <w:rPr>
          <w:sz w:val="24"/>
          <w:szCs w:val="24"/>
          <w:lang w:val="en-US"/>
        </w:rPr>
        <w:t>yandex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r w:rsidR="00C03449" w:rsidRPr="0042248B">
        <w:rPr>
          <w:color w:val="0000FF"/>
          <w:sz w:val="24"/>
          <w:szCs w:val="24"/>
          <w:u w:val="single"/>
        </w:rPr>
        <w:t>-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r w:rsidR="00C03449" w:rsidRPr="0042248B">
        <w:rPr>
          <w:color w:val="0000FF"/>
          <w:sz w:val="24"/>
          <w:szCs w:val="24"/>
          <w:u w:val="single"/>
        </w:rPr>
        <w:t>.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r w:rsidR="00C03449" w:rsidRPr="0042248B">
        <w:rPr>
          <w:sz w:val="24"/>
          <w:szCs w:val="24"/>
          <w:lang w:val="en-US"/>
        </w:rPr>
        <w:t>torgi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r w:rsidR="00C03449" w:rsidRPr="0042248B">
        <w:rPr>
          <w:sz w:val="24"/>
          <w:szCs w:val="24"/>
          <w:lang w:val="en-US"/>
        </w:rPr>
        <w:t>yandex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  <w:rPr>
          <w:szCs w:val="24"/>
        </w:rPr>
      </w:pPr>
      <w:r w:rsidRPr="0042248B">
        <w:rPr>
          <w:bCs/>
          <w:szCs w:val="24"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C81BC" w14:textId="77777777" w:rsidR="00CF2316" w:rsidRDefault="00CF2316">
      <w:r>
        <w:separator/>
      </w:r>
    </w:p>
  </w:endnote>
  <w:endnote w:type="continuationSeparator" w:id="0">
    <w:p w14:paraId="12E91DBF" w14:textId="77777777" w:rsidR="00CF2316" w:rsidRDefault="00CF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06C2284E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BE08BD">
      <w:rPr>
        <w:noProof/>
      </w:rPr>
      <w:t>2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C4BB3" w14:textId="77777777" w:rsidR="00CF2316" w:rsidRDefault="00CF2316">
      <w:r>
        <w:separator/>
      </w:r>
    </w:p>
  </w:footnote>
  <w:footnote w:type="continuationSeparator" w:id="0">
    <w:p w14:paraId="5B64214A" w14:textId="77777777" w:rsidR="00CF2316" w:rsidRDefault="00CF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2A5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383C"/>
    <w:rsid w:val="000F5A35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76241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6FD4"/>
    <w:rsid w:val="001F0DCE"/>
    <w:rsid w:val="001F19A3"/>
    <w:rsid w:val="001F2119"/>
    <w:rsid w:val="001F3034"/>
    <w:rsid w:val="001F6F07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6BE7"/>
    <w:rsid w:val="0029005F"/>
    <w:rsid w:val="0029017D"/>
    <w:rsid w:val="0029155B"/>
    <w:rsid w:val="00295663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899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E6E5A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467"/>
    <w:rsid w:val="00317AE0"/>
    <w:rsid w:val="00317BDB"/>
    <w:rsid w:val="003209F6"/>
    <w:rsid w:val="00324EA7"/>
    <w:rsid w:val="00325426"/>
    <w:rsid w:val="00330BE0"/>
    <w:rsid w:val="00330EE8"/>
    <w:rsid w:val="00331D5A"/>
    <w:rsid w:val="003325E0"/>
    <w:rsid w:val="00333B60"/>
    <w:rsid w:val="00335ECE"/>
    <w:rsid w:val="003367BC"/>
    <w:rsid w:val="003409B6"/>
    <w:rsid w:val="00341F94"/>
    <w:rsid w:val="003440DC"/>
    <w:rsid w:val="00344BBF"/>
    <w:rsid w:val="00344DA7"/>
    <w:rsid w:val="00347980"/>
    <w:rsid w:val="003504A1"/>
    <w:rsid w:val="00350A74"/>
    <w:rsid w:val="003523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131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FB5"/>
    <w:rsid w:val="004775F0"/>
    <w:rsid w:val="00482D2B"/>
    <w:rsid w:val="0048603C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87071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48C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388"/>
    <w:rsid w:val="00616C72"/>
    <w:rsid w:val="00617450"/>
    <w:rsid w:val="0061767D"/>
    <w:rsid w:val="0061789F"/>
    <w:rsid w:val="006179EC"/>
    <w:rsid w:val="00622F7F"/>
    <w:rsid w:val="0062419E"/>
    <w:rsid w:val="00625D82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06D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D7D5E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2A8B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2D01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72EF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08BD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E9"/>
    <w:rsid w:val="00C41FE3"/>
    <w:rsid w:val="00C42E24"/>
    <w:rsid w:val="00C44746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B794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2316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535"/>
    <w:rsid w:val="00E63E2D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5C48"/>
    <w:rsid w:val="00F109AD"/>
    <w:rsid w:val="00F11E2E"/>
    <w:rsid w:val="00F136CB"/>
    <w:rsid w:val="00F14A2B"/>
    <w:rsid w:val="00F14AC0"/>
    <w:rsid w:val="00F14E1D"/>
    <w:rsid w:val="00F15BB9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6235</Words>
  <Characters>35542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</dc:creator>
  <cp:keywords/>
  <dc:description/>
  <cp:lastModifiedBy>Берик</cp:lastModifiedBy>
  <cp:revision>2</cp:revision>
  <dcterms:created xsi:type="dcterms:W3CDTF">2026-03-04T14:20:00Z</dcterms:created>
  <dcterms:modified xsi:type="dcterms:W3CDTF">2026-03-04T14:20:00Z</dcterms:modified>
</cp:coreProperties>
</file>